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1DFCB6"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ISIAN SUBSTANSI PROPOSAL PENELITIAN</w:t>
      </w:r>
    </w:p>
    <w:p w14:paraId="0F14D8B4" w14:textId="77777777" w:rsidR="00F355FB" w:rsidRPr="00624E9D" w:rsidRDefault="00F355FB"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p>
    <w:p w14:paraId="5D74891D"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JUDUL</w:t>
      </w:r>
    </w:p>
    <w:p w14:paraId="5ABD03D0"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 xml:space="preserve">Determinan Partisipasi Pemodal pada </w:t>
      </w:r>
      <w:r w:rsidRPr="00624E9D">
        <w:rPr>
          <w:rFonts w:ascii="Times New Roman" w:eastAsia="Google Sans" w:hAnsi="Times New Roman" w:cs="Times New Roman"/>
          <w:i/>
          <w:iCs/>
          <w:color w:val="1F1F1F"/>
          <w:sz w:val="24"/>
          <w:szCs w:val="24"/>
        </w:rPr>
        <w:t>Securities Crowdfunding</w:t>
      </w:r>
      <w:r w:rsidRPr="00624E9D">
        <w:rPr>
          <w:rFonts w:ascii="Times New Roman" w:eastAsia="Google Sans" w:hAnsi="Times New Roman" w:cs="Times New Roman"/>
          <w:color w:val="1F1F1F"/>
          <w:sz w:val="24"/>
          <w:szCs w:val="24"/>
        </w:rPr>
        <w:t xml:space="preserve"> Syariah: Efek Moderasi Kebijakan Moneter (BI-Rate) (Studi Empiris Proyek Sukuk pada Platform Shafiq.id Periode 2022-2025)</w:t>
      </w:r>
    </w:p>
    <w:p w14:paraId="400BFDC7" w14:textId="77777777" w:rsidR="00F355FB" w:rsidRPr="00624E9D" w:rsidRDefault="00F355FB"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
    <w:p w14:paraId="20481A15"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RINGKASAN</w:t>
      </w:r>
    </w:p>
    <w:p w14:paraId="091D511A"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 xml:space="preserve">Perkembangan instrumen keuangan digital syariah di Indonesia mengalami eskalasi yang signifikan, salah satunya melalui skema </w:t>
      </w:r>
      <w:r w:rsidRPr="00624E9D">
        <w:rPr>
          <w:rFonts w:ascii="Times New Roman" w:eastAsia="Google Sans" w:hAnsi="Times New Roman" w:cs="Times New Roman"/>
          <w:i/>
          <w:iCs/>
          <w:color w:val="1F1F1F"/>
          <w:sz w:val="24"/>
          <w:szCs w:val="24"/>
        </w:rPr>
        <w:t>Securities Crowdfunding</w:t>
      </w:r>
      <w:r w:rsidRPr="00624E9D">
        <w:rPr>
          <w:rFonts w:ascii="Times New Roman" w:eastAsia="Google Sans" w:hAnsi="Times New Roman" w:cs="Times New Roman"/>
          <w:color w:val="1F1F1F"/>
          <w:sz w:val="24"/>
          <w:szCs w:val="24"/>
        </w:rPr>
        <w:t xml:space="preserve"> (SCF) Syariah. Keberhasilan penerbitan sukuk melalui SCF sangat bergantung pada jumlah partisipasi pemodal.</w:t>
      </w:r>
      <w:r w:rsidRPr="00624E9D">
        <w:rPr>
          <w:rFonts w:ascii="Times New Roman" w:eastAsia="Google Sans" w:hAnsi="Times New Roman" w:cs="Times New Roman"/>
          <w:color w:val="1F1F1F"/>
          <w:sz w:val="24"/>
          <w:szCs w:val="24"/>
        </w:rPr>
        <w:t xml:space="preserve"> Berbagai faktor fundamental penawaran seperti tingkat </w:t>
      </w:r>
      <w:r w:rsidRPr="00624E9D">
        <w:rPr>
          <w:rFonts w:ascii="Times New Roman" w:eastAsia="Google Sans" w:hAnsi="Times New Roman" w:cs="Times New Roman"/>
          <w:i/>
          <w:iCs/>
          <w:color w:val="1F1F1F"/>
          <w:sz w:val="24"/>
          <w:szCs w:val="24"/>
        </w:rPr>
        <w:t>Return on Investment</w:t>
      </w:r>
      <w:r w:rsidRPr="00624E9D">
        <w:rPr>
          <w:rFonts w:ascii="Times New Roman" w:eastAsia="Google Sans" w:hAnsi="Times New Roman" w:cs="Times New Roman"/>
          <w:color w:val="1F1F1F"/>
          <w:sz w:val="24"/>
          <w:szCs w:val="24"/>
        </w:rPr>
        <w:t xml:space="preserve"> (ROI), Tenor Sukuk, dan Nilai Pendanaan diyakini menjadi determinan utama dalam menarik minat pemodal. Selain itu, kondisi makroekonomi yang direpresentasikan oleh suku bunga acuan</w:t>
      </w:r>
      <w:r w:rsidRPr="00624E9D">
        <w:rPr>
          <w:rFonts w:ascii="Times New Roman" w:eastAsia="Google Sans" w:hAnsi="Times New Roman" w:cs="Times New Roman"/>
          <w:color w:val="1F1F1F"/>
          <w:sz w:val="24"/>
          <w:szCs w:val="24"/>
        </w:rPr>
        <w:t xml:space="preserve"> (BI-Rate) dapat memengaruhi </w:t>
      </w:r>
      <w:r w:rsidRPr="00624E9D">
        <w:rPr>
          <w:rFonts w:ascii="Times New Roman" w:eastAsia="Google Sans" w:hAnsi="Times New Roman" w:cs="Times New Roman"/>
          <w:i/>
          <w:iCs/>
          <w:color w:val="1F1F1F"/>
          <w:sz w:val="24"/>
          <w:szCs w:val="24"/>
        </w:rPr>
        <w:t>opportunity cost</w:t>
      </w:r>
      <w:r w:rsidRPr="00624E9D">
        <w:rPr>
          <w:rFonts w:ascii="Times New Roman" w:eastAsia="Google Sans" w:hAnsi="Times New Roman" w:cs="Times New Roman"/>
          <w:color w:val="1F1F1F"/>
          <w:sz w:val="24"/>
          <w:szCs w:val="24"/>
        </w:rPr>
        <w:t xml:space="preserve"> investor dan memoderasi keputusan pendanaan mereka. Penelitian ini bertujuan untuk menganalisis pengaruh tingkat ROI, tenor sukuk, dan nilai pendanaan terhadap jumlah partisipasi pemodal, serta menguji peran BI</w:t>
      </w:r>
      <w:r w:rsidRPr="00624E9D">
        <w:rPr>
          <w:rFonts w:ascii="Times New Roman" w:eastAsia="Google Sans" w:hAnsi="Times New Roman" w:cs="Times New Roman"/>
          <w:color w:val="1F1F1F"/>
          <w:sz w:val="24"/>
          <w:szCs w:val="24"/>
        </w:rPr>
        <w:t>-Rate sebagai variabel moderasi pada platform SCF Syariah Shafiq.id periode 2022-2025. Metode penelitian yang diterapkan adalah kuantitatif dengan menggunakan data sekunder yang diekstraksi dari prospektus dan laporan pendanaan di situs resmi shafiq.id, se</w:t>
      </w:r>
      <w:r w:rsidRPr="00624E9D">
        <w:rPr>
          <w:rFonts w:ascii="Times New Roman" w:eastAsia="Google Sans" w:hAnsi="Times New Roman" w:cs="Times New Roman"/>
          <w:color w:val="1F1F1F"/>
          <w:sz w:val="24"/>
          <w:szCs w:val="24"/>
        </w:rPr>
        <w:t xml:space="preserve">rta data historis BI-Rate dari Bank Indonesia. Analisis data dilakukan menggunakan pendekatan </w:t>
      </w:r>
      <w:r w:rsidRPr="00624E9D">
        <w:rPr>
          <w:rFonts w:ascii="Times New Roman" w:eastAsia="Google Sans" w:hAnsi="Times New Roman" w:cs="Times New Roman"/>
          <w:i/>
          <w:iCs/>
          <w:color w:val="1F1F1F"/>
          <w:sz w:val="24"/>
          <w:szCs w:val="24"/>
        </w:rPr>
        <w:t>Partial Least Squares Structural Equation Modeling</w:t>
      </w:r>
      <w:r w:rsidRPr="00624E9D">
        <w:rPr>
          <w:rFonts w:ascii="Times New Roman" w:eastAsia="Google Sans" w:hAnsi="Times New Roman" w:cs="Times New Roman"/>
          <w:color w:val="1F1F1F"/>
          <w:sz w:val="24"/>
          <w:szCs w:val="24"/>
        </w:rPr>
        <w:t xml:space="preserve"> (PLS-SEM) dengan perangkat lunak SmartPLS untuk menguji pengaruh langsung dan efek interaksi moderasi. Hasil da</w:t>
      </w:r>
      <w:r w:rsidRPr="00624E9D">
        <w:rPr>
          <w:rFonts w:ascii="Times New Roman" w:eastAsia="Google Sans" w:hAnsi="Times New Roman" w:cs="Times New Roman"/>
          <w:color w:val="1F1F1F"/>
          <w:sz w:val="24"/>
          <w:szCs w:val="24"/>
        </w:rPr>
        <w:t>ri penelitian ini diharapkan dapat memberikan implikasi strategis bagi penyelenggara SCF Syariah dan pelaku UMKM (penerbit) dalam merancang struktur penawaran sukuk yang adaptif terhadap fluktuasi kondisi makroekonomi guna memaksimalkan partisipasi pemodal</w:t>
      </w:r>
      <w:r w:rsidRPr="00624E9D">
        <w:rPr>
          <w:rFonts w:ascii="Times New Roman" w:eastAsia="Google Sans" w:hAnsi="Times New Roman" w:cs="Times New Roman"/>
          <w:color w:val="1F1F1F"/>
          <w:sz w:val="24"/>
          <w:szCs w:val="24"/>
        </w:rPr>
        <w:t>.</w:t>
      </w:r>
    </w:p>
    <w:p w14:paraId="32D1C79B" w14:textId="77777777" w:rsidR="00F355FB" w:rsidRPr="00624E9D" w:rsidRDefault="00F355FB"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
    <w:p w14:paraId="44BD1222"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KATA KUNCI</w:t>
      </w:r>
    </w:p>
    <w:p w14:paraId="246D8B54" w14:textId="44364D54"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securities_crowdfunding; partisipasi_pemodal; return_on_investment; BI_rate</w:t>
      </w:r>
    </w:p>
    <w:p w14:paraId="10367875" w14:textId="77777777" w:rsidR="00F355FB" w:rsidRPr="00624E9D" w:rsidRDefault="00F355FB"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
    <w:p w14:paraId="1986DB5A"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PENDAHULUAN</w:t>
      </w:r>
    </w:p>
    <w:p w14:paraId="6599CA42"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1. LATAR BELAKANG DAN RUMUSAN MASAL</w:t>
      </w:r>
      <w:bookmarkStart w:id="0" w:name="_GoBack"/>
      <w:bookmarkEnd w:id="0"/>
      <w:r w:rsidRPr="00624E9D">
        <w:rPr>
          <w:rFonts w:ascii="Times New Roman" w:eastAsia="Google Sans" w:hAnsi="Times New Roman" w:cs="Times New Roman"/>
          <w:b/>
          <w:bCs/>
          <w:color w:val="1F1F1F"/>
          <w:sz w:val="24"/>
          <w:szCs w:val="24"/>
        </w:rPr>
        <w:t>AH</w:t>
      </w:r>
    </w:p>
    <w:p w14:paraId="57F13984"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 xml:space="preserve">Inklusi keuangan syariah di Indonesia terus didorong melalui berbagai inovasi </w:t>
      </w:r>
      <w:r w:rsidRPr="00624E9D">
        <w:rPr>
          <w:rFonts w:ascii="Times New Roman" w:eastAsia="Google Sans" w:hAnsi="Times New Roman" w:cs="Times New Roman"/>
          <w:i/>
          <w:iCs/>
          <w:color w:val="1F1F1F"/>
          <w:sz w:val="24"/>
          <w:szCs w:val="24"/>
        </w:rPr>
        <w:t>Financial Technology</w:t>
      </w:r>
      <w:r w:rsidRPr="00624E9D">
        <w:rPr>
          <w:rFonts w:ascii="Times New Roman" w:eastAsia="Google Sans" w:hAnsi="Times New Roman" w:cs="Times New Roman"/>
          <w:color w:val="1F1F1F"/>
          <w:sz w:val="24"/>
          <w:szCs w:val="24"/>
        </w:rPr>
        <w:t xml:space="preserve"> (Fintech), salah satunya adalah </w:t>
      </w:r>
      <w:r w:rsidRPr="00624E9D">
        <w:rPr>
          <w:rFonts w:ascii="Times New Roman" w:eastAsia="Google Sans" w:hAnsi="Times New Roman" w:cs="Times New Roman"/>
          <w:i/>
          <w:iCs/>
          <w:color w:val="1F1F1F"/>
          <w:sz w:val="24"/>
          <w:szCs w:val="24"/>
        </w:rPr>
        <w:t>Securities Crowdfunding</w:t>
      </w:r>
      <w:r w:rsidRPr="00624E9D">
        <w:rPr>
          <w:rFonts w:ascii="Times New Roman" w:eastAsia="Google Sans" w:hAnsi="Times New Roman" w:cs="Times New Roman"/>
          <w:color w:val="1F1F1F"/>
          <w:sz w:val="24"/>
          <w:szCs w:val="24"/>
        </w:rPr>
        <w:t xml:space="preserve"> (SCF) Syariah. SCF Syariah merupakan metode pengumpulan dana dengan skema patungan yang dilakukan secara digital dan sesuai dengan prinsip syariah, baik melalui penerbitan saham maupun sukuk (efek sy</w:t>
      </w:r>
      <w:r w:rsidRPr="00624E9D">
        <w:rPr>
          <w:rFonts w:ascii="Times New Roman" w:eastAsia="Google Sans" w:hAnsi="Times New Roman" w:cs="Times New Roman"/>
          <w:color w:val="1F1F1F"/>
          <w:sz w:val="24"/>
          <w:szCs w:val="24"/>
        </w:rPr>
        <w:t>ariah). Shafiq.id merupakan platform SCF Syariah pertama di Indonesia yang mendapatkan izin dari Otoritas Jasa Keuangan (OJK). Kesuksesan sebuah kampanye pendanaan pada platform SCF sangat bergantung pada tingkat partisipasi pemodal. Semakin tinggi tingkat</w:t>
      </w:r>
      <w:r w:rsidRPr="00624E9D">
        <w:rPr>
          <w:rFonts w:ascii="Times New Roman" w:eastAsia="Google Sans" w:hAnsi="Times New Roman" w:cs="Times New Roman"/>
          <w:color w:val="1F1F1F"/>
          <w:sz w:val="24"/>
          <w:szCs w:val="24"/>
        </w:rPr>
        <w:t xml:space="preserve"> partisipasi, semakin cepat dana terkumpul untuk membantu ekspansi bisnis UMKM. Namun, perilaku pemodal dalam memutuskan untuk berpartisipasi dipengaruhi oleh berbagai informasi fundamental atas proyek yang ditawarkan [1, 2].</w:t>
      </w:r>
    </w:p>
    <w:p w14:paraId="5C385A3D"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Faktor pertama yang menjadi so</w:t>
      </w:r>
      <w:r w:rsidRPr="00624E9D">
        <w:rPr>
          <w:rFonts w:ascii="Times New Roman" w:eastAsia="Google Sans" w:hAnsi="Times New Roman" w:cs="Times New Roman"/>
          <w:color w:val="1F1F1F"/>
          <w:sz w:val="24"/>
          <w:szCs w:val="24"/>
        </w:rPr>
        <w:t xml:space="preserve">rotan adalah tingkat </w:t>
      </w:r>
      <w:r w:rsidRPr="00624E9D">
        <w:rPr>
          <w:rFonts w:ascii="Times New Roman" w:eastAsia="Google Sans" w:hAnsi="Times New Roman" w:cs="Times New Roman"/>
          <w:i/>
          <w:iCs/>
          <w:color w:val="1F1F1F"/>
          <w:sz w:val="24"/>
          <w:szCs w:val="24"/>
        </w:rPr>
        <w:t>Return on Investment</w:t>
      </w:r>
      <w:r w:rsidRPr="00624E9D">
        <w:rPr>
          <w:rFonts w:ascii="Times New Roman" w:eastAsia="Google Sans" w:hAnsi="Times New Roman" w:cs="Times New Roman"/>
          <w:color w:val="1F1F1F"/>
          <w:sz w:val="24"/>
          <w:szCs w:val="24"/>
        </w:rPr>
        <w:t xml:space="preserve"> (ROI) atau imbal hasil. </w:t>
      </w:r>
      <w:r w:rsidRPr="00624E9D">
        <w:rPr>
          <w:rFonts w:ascii="Times New Roman" w:eastAsia="Google Sans" w:hAnsi="Times New Roman" w:cs="Times New Roman"/>
          <w:color w:val="1F1F1F"/>
          <w:sz w:val="24"/>
          <w:szCs w:val="24"/>
        </w:rPr>
        <w:lastRenderedPageBreak/>
        <w:t>Dalam investasi sukuk, proyeksi imbal hasil yang kompetitif secara teoritis akan menarik lebih banyak pemodal rasional yang menginginkan optimalisasi keuntungan dari dana yang mereka tempatk</w:t>
      </w:r>
      <w:r w:rsidRPr="00624E9D">
        <w:rPr>
          <w:rFonts w:ascii="Times New Roman" w:eastAsia="Google Sans" w:hAnsi="Times New Roman" w:cs="Times New Roman"/>
          <w:color w:val="1F1F1F"/>
          <w:sz w:val="24"/>
          <w:szCs w:val="24"/>
        </w:rPr>
        <w:t>an [3]. Faktor kedua adalah Tenor Sukuk. Tenor mencerminkan jangka waktu pengembalian dana investasi. Tenor yang lebih panjang seringkali diasosiasikan dengan risiko ketidakpastian yang lebih tinggi serta tingkat likuiditas yang lebih rendah, yang berpoten</w:t>
      </w:r>
      <w:r w:rsidRPr="00624E9D">
        <w:rPr>
          <w:rFonts w:ascii="Times New Roman" w:eastAsia="Google Sans" w:hAnsi="Times New Roman" w:cs="Times New Roman"/>
          <w:color w:val="1F1F1F"/>
          <w:sz w:val="24"/>
          <w:szCs w:val="24"/>
        </w:rPr>
        <w:t>si menurunkan minat pemodal untuk berpartisipasi [4]. Faktor ketiga adalah Nilai Pendanaan (target dana yang dibutuhkan). Nilai pendanaan mencerminkan skala proyek dan kebutuhan modal. Target pendanaan yang terlalu besar mungkin menimbulkan keraguan pemoda</w:t>
      </w:r>
      <w:r w:rsidRPr="00624E9D">
        <w:rPr>
          <w:rFonts w:ascii="Times New Roman" w:eastAsia="Google Sans" w:hAnsi="Times New Roman" w:cs="Times New Roman"/>
          <w:color w:val="1F1F1F"/>
          <w:sz w:val="24"/>
          <w:szCs w:val="24"/>
        </w:rPr>
        <w:t xml:space="preserve">l terkait kemampuan perusahaan dalam mencapai target </w:t>
      </w:r>
      <w:r w:rsidRPr="00624E9D">
        <w:rPr>
          <w:rFonts w:ascii="Times New Roman" w:eastAsia="Google Sans" w:hAnsi="Times New Roman" w:cs="Times New Roman"/>
          <w:i/>
          <w:iCs/>
          <w:color w:val="1F1F1F"/>
          <w:sz w:val="24"/>
          <w:szCs w:val="24"/>
        </w:rPr>
        <w:t>closed funding</w:t>
      </w:r>
      <w:r w:rsidRPr="00624E9D">
        <w:rPr>
          <w:rFonts w:ascii="Times New Roman" w:eastAsia="Google Sans" w:hAnsi="Times New Roman" w:cs="Times New Roman"/>
          <w:color w:val="1F1F1F"/>
          <w:sz w:val="24"/>
          <w:szCs w:val="24"/>
        </w:rPr>
        <w:t>, sementara nilai yang terukur dapat meningkatkan keyakinan pasar [5].</w:t>
      </w:r>
    </w:p>
    <w:p w14:paraId="78EAB577"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 xml:space="preserve">Selain ketiga faktor fundamental penawaran di atas, kondisi makroekonomi khususnya tingkat suku bunga acuan (BI-Rate) </w:t>
      </w:r>
      <w:r w:rsidRPr="00624E9D">
        <w:rPr>
          <w:rFonts w:ascii="Times New Roman" w:eastAsia="Google Sans" w:hAnsi="Times New Roman" w:cs="Times New Roman"/>
          <w:color w:val="1F1F1F"/>
          <w:sz w:val="24"/>
          <w:szCs w:val="24"/>
        </w:rPr>
        <w:t xml:space="preserve">diduga kuat memoderasi keputusan pemodal [6]. Meskipun SCF ini berbasis syariah, BI-Rate tetap menjadi </w:t>
      </w:r>
      <w:r w:rsidRPr="00624E9D">
        <w:rPr>
          <w:rFonts w:ascii="Times New Roman" w:eastAsia="Google Sans" w:hAnsi="Times New Roman" w:cs="Times New Roman"/>
          <w:i/>
          <w:iCs/>
          <w:color w:val="1F1F1F"/>
          <w:sz w:val="24"/>
          <w:szCs w:val="24"/>
        </w:rPr>
        <w:t>benchmark</w:t>
      </w:r>
      <w:r w:rsidRPr="00624E9D">
        <w:rPr>
          <w:rFonts w:ascii="Times New Roman" w:eastAsia="Google Sans" w:hAnsi="Times New Roman" w:cs="Times New Roman"/>
          <w:color w:val="1F1F1F"/>
          <w:sz w:val="24"/>
          <w:szCs w:val="24"/>
        </w:rPr>
        <w:t xml:space="preserve"> makroekonomi yang mencerminkan </w:t>
      </w:r>
      <w:r w:rsidRPr="00624E9D">
        <w:rPr>
          <w:rFonts w:ascii="Times New Roman" w:eastAsia="Google Sans" w:hAnsi="Times New Roman" w:cs="Times New Roman"/>
          <w:i/>
          <w:iCs/>
          <w:color w:val="1F1F1F"/>
          <w:sz w:val="24"/>
          <w:szCs w:val="24"/>
        </w:rPr>
        <w:t>opportunity cost</w:t>
      </w:r>
      <w:r w:rsidRPr="00624E9D">
        <w:rPr>
          <w:rFonts w:ascii="Times New Roman" w:eastAsia="Google Sans" w:hAnsi="Times New Roman" w:cs="Times New Roman"/>
          <w:color w:val="1F1F1F"/>
          <w:sz w:val="24"/>
          <w:szCs w:val="24"/>
        </w:rPr>
        <w:t xml:space="preserve"> bagi pemodal di Indonesia. Ketika BI-Rate tinggi, instrumen perbankan atau obligasi pemerintah </w:t>
      </w:r>
      <w:r w:rsidRPr="00624E9D">
        <w:rPr>
          <w:rFonts w:ascii="Times New Roman" w:eastAsia="Google Sans" w:hAnsi="Times New Roman" w:cs="Times New Roman"/>
          <w:color w:val="1F1F1F"/>
          <w:sz w:val="24"/>
          <w:szCs w:val="24"/>
        </w:rPr>
        <w:t>menjadi lebih menarik karena imbal hasilnya menyesuaikan naik dengan risiko yang sangat rendah. Hal ini berpotensi mereduksi sensitivitas pemodal terhadap daya tarik ROI dari instrumen SCF. Sebaliknya, saat BI-Rate rendah, pemodal akan cenderung mencari al</w:t>
      </w:r>
      <w:r w:rsidRPr="00624E9D">
        <w:rPr>
          <w:rFonts w:ascii="Times New Roman" w:eastAsia="Google Sans" w:hAnsi="Times New Roman" w:cs="Times New Roman"/>
          <w:color w:val="1F1F1F"/>
          <w:sz w:val="24"/>
          <w:szCs w:val="24"/>
        </w:rPr>
        <w:t xml:space="preserve">ternatif investasi berisiko (seperti SCF) yang menawarkan </w:t>
      </w:r>
      <w:r w:rsidRPr="00624E9D">
        <w:rPr>
          <w:rFonts w:ascii="Times New Roman" w:eastAsia="Google Sans" w:hAnsi="Times New Roman" w:cs="Times New Roman"/>
          <w:i/>
          <w:iCs/>
          <w:color w:val="1F1F1F"/>
          <w:sz w:val="24"/>
          <w:szCs w:val="24"/>
        </w:rPr>
        <w:t>yield</w:t>
      </w:r>
      <w:r w:rsidRPr="00624E9D">
        <w:rPr>
          <w:rFonts w:ascii="Times New Roman" w:eastAsia="Google Sans" w:hAnsi="Times New Roman" w:cs="Times New Roman"/>
          <w:color w:val="1F1F1F"/>
          <w:sz w:val="24"/>
          <w:szCs w:val="24"/>
        </w:rPr>
        <w:t xml:space="preserve"> lebih tinggi [7, 8]. Uraian latar belakang tersebut mendasari perumusan masalah sebagai berikut:</w:t>
      </w:r>
    </w:p>
    <w:p w14:paraId="5F40983B"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a. Bagaimana tingkat ROI berpengaruh terhadap Jumlah Partisipasi Pemodal?</w:t>
      </w:r>
    </w:p>
    <w:p w14:paraId="4C1CEEF7"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b. Bagaimana Tenor Su</w:t>
      </w:r>
      <w:r w:rsidRPr="00624E9D">
        <w:rPr>
          <w:rFonts w:ascii="Times New Roman" w:eastAsia="Google Sans" w:hAnsi="Times New Roman" w:cs="Times New Roman"/>
          <w:color w:val="1F1F1F"/>
          <w:sz w:val="24"/>
          <w:szCs w:val="24"/>
        </w:rPr>
        <w:t>kuk berpengaruh terhadap Jumlah Partisipasi Pemodal?</w:t>
      </w:r>
    </w:p>
    <w:p w14:paraId="0D086A47"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c. Bagaimana Nilai Pendanaan berpengaruh terhadap Jumlah Partisipasi Pemodal?</w:t>
      </w:r>
    </w:p>
    <w:p w14:paraId="16E1D287"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d. Apakah BI-Rate memoderasi pengaruh tingkat ROI terhadap Jumlah Partisipasi Pemodal?</w:t>
      </w:r>
    </w:p>
    <w:p w14:paraId="70564960"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 xml:space="preserve">e. Apakah BI-Rate memoderasi pengaruh </w:t>
      </w:r>
      <w:r w:rsidRPr="00624E9D">
        <w:rPr>
          <w:rFonts w:ascii="Times New Roman" w:eastAsia="Google Sans" w:hAnsi="Times New Roman" w:cs="Times New Roman"/>
          <w:color w:val="1F1F1F"/>
          <w:sz w:val="24"/>
          <w:szCs w:val="24"/>
        </w:rPr>
        <w:t>Tenor Sukuk terhadap Jumlah Partisipasi Pemodal?</w:t>
      </w:r>
    </w:p>
    <w:p w14:paraId="3949DAE4"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f. Apakah BI-Rate memoderasi pengaruh Nilai Pendanaan terhadap Jumlah Partisipasi Pemodal?</w:t>
      </w:r>
    </w:p>
    <w:p w14:paraId="6AD63B28" w14:textId="77777777" w:rsidR="00F355FB" w:rsidRPr="00624E9D" w:rsidRDefault="00F355FB"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
    <w:p w14:paraId="615F2FC6"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2. PENDEKATAN PEMECAHAN MASALAH</w:t>
      </w:r>
    </w:p>
    <w:p w14:paraId="1BB89BB2"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Penelitian ini menerapkan pendekatan kuantitatif eksplanatori berbasis data sekunder. Tahapan pemecahan masalah dilakukan sebagai berikut: Pertama, melakukan inventarisasi data seluruh kampanye penerbitan sukuk pada platform shafiq.id selama periode 2022-2</w:t>
      </w:r>
      <w:r w:rsidRPr="00624E9D">
        <w:rPr>
          <w:rFonts w:ascii="Times New Roman" w:eastAsia="Google Sans" w:hAnsi="Times New Roman" w:cs="Times New Roman"/>
          <w:color w:val="1F1F1F"/>
          <w:sz w:val="24"/>
          <w:szCs w:val="24"/>
        </w:rPr>
        <w:t>025 dan menarik data historis BI-Rate pada bulan diterbitkannya kampanye tersebut. Data yang diekstraksi meliputi proyeksi ROI (persentase), Tenor Sukuk (dalam bulan), Nilai Pendanaan (dalam Rupiah), Jumlah Partisipasi Pemodal (jumlah orang), dan BI-Rate (</w:t>
      </w:r>
      <w:r w:rsidRPr="00624E9D">
        <w:rPr>
          <w:rFonts w:ascii="Times New Roman" w:eastAsia="Google Sans" w:hAnsi="Times New Roman" w:cs="Times New Roman"/>
          <w:color w:val="1F1F1F"/>
          <w:sz w:val="24"/>
          <w:szCs w:val="24"/>
        </w:rPr>
        <w:t xml:space="preserve">persentase). Kedua, melakukan tabulasi dan pra-pemrosesan data agar selaras dengan spesifikasi </w:t>
      </w:r>
      <w:r w:rsidRPr="00624E9D">
        <w:rPr>
          <w:rFonts w:ascii="Times New Roman" w:eastAsia="Google Sans" w:hAnsi="Times New Roman" w:cs="Times New Roman"/>
          <w:i/>
          <w:iCs/>
          <w:color w:val="1F1F1F"/>
          <w:sz w:val="24"/>
          <w:szCs w:val="24"/>
        </w:rPr>
        <w:t>input software</w:t>
      </w:r>
      <w:r w:rsidRPr="00624E9D">
        <w:rPr>
          <w:rFonts w:ascii="Times New Roman" w:eastAsia="Google Sans" w:hAnsi="Times New Roman" w:cs="Times New Roman"/>
          <w:color w:val="1F1F1F"/>
          <w:sz w:val="24"/>
          <w:szCs w:val="24"/>
        </w:rPr>
        <w:t xml:space="preserve"> analisis. Ketiga, melakukan pengujian hipotesis menggunakan pendekatan </w:t>
      </w:r>
      <w:r w:rsidRPr="00624E9D">
        <w:rPr>
          <w:rFonts w:ascii="Times New Roman" w:eastAsia="Google Sans" w:hAnsi="Times New Roman" w:cs="Times New Roman"/>
          <w:i/>
          <w:iCs/>
          <w:color w:val="1F1F1F"/>
          <w:sz w:val="24"/>
          <w:szCs w:val="24"/>
        </w:rPr>
        <w:t>Partial Least Squares Structural Equation Modeling</w:t>
      </w:r>
      <w:r w:rsidRPr="00624E9D">
        <w:rPr>
          <w:rFonts w:ascii="Times New Roman" w:eastAsia="Google Sans" w:hAnsi="Times New Roman" w:cs="Times New Roman"/>
          <w:color w:val="1F1F1F"/>
          <w:sz w:val="24"/>
          <w:szCs w:val="24"/>
        </w:rPr>
        <w:t xml:space="preserve"> (PLS-SEM) dengan </w:t>
      </w:r>
      <w:r w:rsidRPr="00624E9D">
        <w:rPr>
          <w:rFonts w:ascii="Times New Roman" w:eastAsia="Google Sans" w:hAnsi="Times New Roman" w:cs="Times New Roman"/>
          <w:i/>
          <w:iCs/>
          <w:color w:val="1F1F1F"/>
          <w:sz w:val="24"/>
          <w:szCs w:val="24"/>
        </w:rPr>
        <w:t>softwar</w:t>
      </w:r>
      <w:r w:rsidRPr="00624E9D">
        <w:rPr>
          <w:rFonts w:ascii="Times New Roman" w:eastAsia="Google Sans" w:hAnsi="Times New Roman" w:cs="Times New Roman"/>
          <w:i/>
          <w:iCs/>
          <w:color w:val="1F1F1F"/>
          <w:sz w:val="24"/>
          <w:szCs w:val="24"/>
        </w:rPr>
        <w:t>e</w:t>
      </w:r>
      <w:r w:rsidRPr="00624E9D">
        <w:rPr>
          <w:rFonts w:ascii="Times New Roman" w:eastAsia="Google Sans" w:hAnsi="Times New Roman" w:cs="Times New Roman"/>
          <w:color w:val="1F1F1F"/>
          <w:sz w:val="24"/>
          <w:szCs w:val="24"/>
        </w:rPr>
        <w:t xml:space="preserve"> SmartPLS. Analisis difokuskan pada evaluasi model struktural (</w:t>
      </w:r>
      <w:r w:rsidRPr="00624E9D">
        <w:rPr>
          <w:rFonts w:ascii="Times New Roman" w:eastAsia="Google Sans" w:hAnsi="Times New Roman" w:cs="Times New Roman"/>
          <w:i/>
          <w:iCs/>
          <w:color w:val="1F1F1F"/>
          <w:sz w:val="24"/>
          <w:szCs w:val="24"/>
        </w:rPr>
        <w:t>inner model</w:t>
      </w:r>
      <w:r w:rsidRPr="00624E9D">
        <w:rPr>
          <w:rFonts w:ascii="Times New Roman" w:eastAsia="Google Sans" w:hAnsi="Times New Roman" w:cs="Times New Roman"/>
          <w:color w:val="1F1F1F"/>
          <w:sz w:val="24"/>
          <w:szCs w:val="24"/>
        </w:rPr>
        <w:t xml:space="preserve">) dan uji signifikansi melalui prosedur </w:t>
      </w:r>
      <w:r w:rsidRPr="00624E9D">
        <w:rPr>
          <w:rFonts w:ascii="Times New Roman" w:eastAsia="Google Sans" w:hAnsi="Times New Roman" w:cs="Times New Roman"/>
          <w:i/>
          <w:iCs/>
          <w:color w:val="1F1F1F"/>
          <w:sz w:val="24"/>
          <w:szCs w:val="24"/>
        </w:rPr>
        <w:t>bootstrapping</w:t>
      </w:r>
      <w:r w:rsidRPr="00624E9D">
        <w:rPr>
          <w:rFonts w:ascii="Times New Roman" w:eastAsia="Google Sans" w:hAnsi="Times New Roman" w:cs="Times New Roman"/>
          <w:color w:val="1F1F1F"/>
          <w:sz w:val="24"/>
          <w:szCs w:val="24"/>
        </w:rPr>
        <w:t xml:space="preserve"> untuk menguji pengaruh langsung serta efek interaksi moderasi (BI-Rate). Tahap terakhir adalah interpretasi hasil estimasi para</w:t>
      </w:r>
      <w:r w:rsidRPr="00624E9D">
        <w:rPr>
          <w:rFonts w:ascii="Times New Roman" w:eastAsia="Google Sans" w:hAnsi="Times New Roman" w:cs="Times New Roman"/>
          <w:color w:val="1F1F1F"/>
          <w:sz w:val="24"/>
          <w:szCs w:val="24"/>
        </w:rPr>
        <w:t>meter untuk menyusun rekomendasi manajerial.</w:t>
      </w:r>
    </w:p>
    <w:p w14:paraId="50089F30" w14:textId="77777777" w:rsidR="00F355FB" w:rsidRPr="00624E9D" w:rsidRDefault="00F355FB"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
    <w:p w14:paraId="1439AA33"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3. STATE OF THE ART DAN KEBARUAN</w:t>
      </w:r>
    </w:p>
    <w:p w14:paraId="0343124A"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lastRenderedPageBreak/>
        <w:t xml:space="preserve">Berbagai penelitian terdahulu telah membahas determinan keberhasilan </w:t>
      </w:r>
      <w:r w:rsidRPr="00624E9D">
        <w:rPr>
          <w:rFonts w:ascii="Times New Roman" w:eastAsia="Google Sans" w:hAnsi="Times New Roman" w:cs="Times New Roman"/>
          <w:i/>
          <w:iCs/>
          <w:color w:val="1F1F1F"/>
          <w:sz w:val="24"/>
          <w:szCs w:val="24"/>
        </w:rPr>
        <w:t>crowdfunding</w:t>
      </w:r>
      <w:r w:rsidRPr="00624E9D">
        <w:rPr>
          <w:rFonts w:ascii="Times New Roman" w:eastAsia="Google Sans" w:hAnsi="Times New Roman" w:cs="Times New Roman"/>
          <w:color w:val="1F1F1F"/>
          <w:sz w:val="24"/>
          <w:szCs w:val="24"/>
        </w:rPr>
        <w:t xml:space="preserve">, namun mayoritas hanya berfokus pada tingkat mikro seperti sentimen deskripsi proyek pada </w:t>
      </w:r>
      <w:r w:rsidRPr="00624E9D">
        <w:rPr>
          <w:rFonts w:ascii="Times New Roman" w:eastAsia="Google Sans" w:hAnsi="Times New Roman" w:cs="Times New Roman"/>
          <w:i/>
          <w:iCs/>
          <w:color w:val="1F1F1F"/>
          <w:sz w:val="24"/>
          <w:szCs w:val="24"/>
        </w:rPr>
        <w:t>reward-based crowdfunding</w:t>
      </w:r>
      <w:r w:rsidRPr="00624E9D">
        <w:rPr>
          <w:rFonts w:ascii="Times New Roman" w:eastAsia="Google Sans" w:hAnsi="Times New Roman" w:cs="Times New Roman"/>
          <w:color w:val="1F1F1F"/>
          <w:sz w:val="24"/>
          <w:szCs w:val="24"/>
        </w:rPr>
        <w:t xml:space="preserve"> konvensional [1, 4]. Kebaruan penelitian ini terletak pada dua hal utama: 1) Objek spesifik SCF Syariah yang menerbitkan instrumen sukuk, di mana instrumen ini memiliki karakteristik kepastian imbal hasil dan profil risiko yang un</w:t>
      </w:r>
      <w:r w:rsidRPr="00624E9D">
        <w:rPr>
          <w:rFonts w:ascii="Times New Roman" w:eastAsia="Google Sans" w:hAnsi="Times New Roman" w:cs="Times New Roman"/>
          <w:color w:val="1F1F1F"/>
          <w:sz w:val="24"/>
          <w:szCs w:val="24"/>
        </w:rPr>
        <w:t>ik dibandingkan saham. 2) Integrasi indikator makroekonomi (BI-Rate) sebagai variabel moderasi terhadap faktor fundamental mikro di dalam ekosistem platform digital. Penggunaan alat analisis PLS-SEM dengan efek moderasi variabel kontinu (</w:t>
      </w:r>
      <w:r w:rsidRPr="00624E9D">
        <w:rPr>
          <w:rFonts w:ascii="Times New Roman" w:eastAsia="Google Sans" w:hAnsi="Times New Roman" w:cs="Times New Roman"/>
          <w:i/>
          <w:iCs/>
          <w:color w:val="1F1F1F"/>
          <w:sz w:val="24"/>
          <w:szCs w:val="24"/>
        </w:rPr>
        <w:t>interaction effect</w:t>
      </w:r>
      <w:r w:rsidRPr="00624E9D">
        <w:rPr>
          <w:rFonts w:ascii="Times New Roman" w:eastAsia="Google Sans" w:hAnsi="Times New Roman" w:cs="Times New Roman"/>
          <w:color w:val="1F1F1F"/>
          <w:sz w:val="24"/>
          <w:szCs w:val="24"/>
        </w:rPr>
        <w:t xml:space="preserve">) pada studi kasus </w:t>
      </w:r>
      <w:r w:rsidRPr="00624E9D">
        <w:rPr>
          <w:rFonts w:ascii="Times New Roman" w:eastAsia="Google Sans" w:hAnsi="Times New Roman" w:cs="Times New Roman"/>
          <w:i/>
          <w:iCs/>
          <w:color w:val="1F1F1F"/>
          <w:sz w:val="24"/>
          <w:szCs w:val="24"/>
        </w:rPr>
        <w:t>Securities Crowdfunding</w:t>
      </w:r>
      <w:r w:rsidRPr="00624E9D">
        <w:rPr>
          <w:rFonts w:ascii="Times New Roman" w:eastAsia="Google Sans" w:hAnsi="Times New Roman" w:cs="Times New Roman"/>
          <w:color w:val="1F1F1F"/>
          <w:sz w:val="24"/>
          <w:szCs w:val="24"/>
        </w:rPr>
        <w:t xml:space="preserve"> masih sangat terbatas, sehingga penelitian ini diharapkan mampu mengklarifikasi secara empiris perilaku </w:t>
      </w:r>
      <w:r w:rsidRPr="00624E9D">
        <w:rPr>
          <w:rFonts w:ascii="Times New Roman" w:eastAsia="Google Sans" w:hAnsi="Times New Roman" w:cs="Times New Roman"/>
          <w:i/>
          <w:iCs/>
          <w:color w:val="1F1F1F"/>
          <w:sz w:val="24"/>
          <w:szCs w:val="24"/>
        </w:rPr>
        <w:t>switching</w:t>
      </w:r>
      <w:r w:rsidRPr="00624E9D">
        <w:rPr>
          <w:rFonts w:ascii="Times New Roman" w:eastAsia="Google Sans" w:hAnsi="Times New Roman" w:cs="Times New Roman"/>
          <w:color w:val="1F1F1F"/>
          <w:sz w:val="24"/>
          <w:szCs w:val="24"/>
        </w:rPr>
        <w:t xml:space="preserve"> (perpindahan) minat pemodal </w:t>
      </w:r>
      <w:r w:rsidRPr="00624E9D">
        <w:rPr>
          <w:rFonts w:ascii="Times New Roman" w:eastAsia="Google Sans" w:hAnsi="Times New Roman" w:cs="Times New Roman"/>
          <w:i/>
          <w:iCs/>
          <w:color w:val="1F1F1F"/>
          <w:sz w:val="24"/>
          <w:szCs w:val="24"/>
        </w:rPr>
        <w:t>fintech</w:t>
      </w:r>
      <w:r w:rsidRPr="00624E9D">
        <w:rPr>
          <w:rFonts w:ascii="Times New Roman" w:eastAsia="Google Sans" w:hAnsi="Times New Roman" w:cs="Times New Roman"/>
          <w:color w:val="1F1F1F"/>
          <w:sz w:val="24"/>
          <w:szCs w:val="24"/>
        </w:rPr>
        <w:t xml:space="preserve"> dalam merespons siklus kebijakan moneter.</w:t>
      </w:r>
    </w:p>
    <w:p w14:paraId="4270D136" w14:textId="77777777" w:rsidR="00F355FB" w:rsidRPr="00624E9D" w:rsidRDefault="00F355FB"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
    <w:p w14:paraId="3F21575B"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4. PETA JALAN PENELI</w:t>
      </w:r>
      <w:r w:rsidRPr="00624E9D">
        <w:rPr>
          <w:rFonts w:ascii="Times New Roman" w:eastAsia="Google Sans" w:hAnsi="Times New Roman" w:cs="Times New Roman"/>
          <w:b/>
          <w:bCs/>
          <w:color w:val="1F1F1F"/>
          <w:sz w:val="24"/>
          <w:szCs w:val="24"/>
        </w:rPr>
        <w:t>TIAN</w:t>
      </w:r>
    </w:p>
    <w:p w14:paraId="031F0D74" w14:textId="012CDDED" w:rsidR="00C56B72" w:rsidRPr="00624E9D" w:rsidRDefault="00C56B72"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 xml:space="preserve">Peta jalan penelitian selama lima tahun ke depan diarahkan pada pengembangan model </w:t>
      </w:r>
      <w:r w:rsidRPr="00624E9D">
        <w:rPr>
          <w:rFonts w:ascii="Times New Roman" w:eastAsia="Google Sans" w:hAnsi="Times New Roman" w:cs="Times New Roman"/>
          <w:i/>
          <w:iCs/>
          <w:color w:val="1F1F1F"/>
          <w:sz w:val="24"/>
          <w:szCs w:val="24"/>
        </w:rPr>
        <w:t>Credit Scoring</w:t>
      </w:r>
      <w:r w:rsidRPr="00624E9D">
        <w:rPr>
          <w:rFonts w:ascii="Times New Roman" w:eastAsia="Google Sans" w:hAnsi="Times New Roman" w:cs="Times New Roman"/>
          <w:color w:val="1F1F1F"/>
          <w:sz w:val="24"/>
          <w:szCs w:val="24"/>
        </w:rPr>
        <w:t xml:space="preserve"> dan </w:t>
      </w:r>
      <w:r w:rsidRPr="00624E9D">
        <w:rPr>
          <w:rFonts w:ascii="Times New Roman" w:eastAsia="Google Sans" w:hAnsi="Times New Roman" w:cs="Times New Roman"/>
          <w:i/>
          <w:iCs/>
          <w:color w:val="1F1F1F"/>
          <w:sz w:val="24"/>
          <w:szCs w:val="24"/>
        </w:rPr>
        <w:t>Investment Decision</w:t>
      </w:r>
      <w:r w:rsidRPr="00624E9D">
        <w:rPr>
          <w:rFonts w:ascii="Times New Roman" w:eastAsia="Google Sans" w:hAnsi="Times New Roman" w:cs="Times New Roman"/>
          <w:color w:val="1F1F1F"/>
          <w:sz w:val="24"/>
          <w:szCs w:val="24"/>
        </w:rPr>
        <w:t xml:space="preserve"> di sektor ekosistem SCF Syariah. Adapun </w:t>
      </w:r>
      <w:r w:rsidRPr="00624E9D">
        <w:rPr>
          <w:rFonts w:ascii="Times New Roman" w:eastAsia="Google Sans" w:hAnsi="Times New Roman" w:cs="Times New Roman"/>
          <w:i/>
          <w:iCs/>
          <w:color w:val="1F1F1F"/>
          <w:sz w:val="24"/>
          <w:szCs w:val="24"/>
        </w:rPr>
        <w:t>roadmap</w:t>
      </w:r>
      <w:r w:rsidRPr="00624E9D">
        <w:rPr>
          <w:rFonts w:ascii="Times New Roman" w:eastAsia="Google Sans" w:hAnsi="Times New Roman" w:cs="Times New Roman"/>
          <w:color w:val="1F1F1F"/>
          <w:sz w:val="24"/>
          <w:szCs w:val="24"/>
        </w:rPr>
        <w:t xml:space="preserve"> penelitian selama lima tahun ke depan dapat digambarkan sebagai berikut:</w:t>
      </w:r>
    </w:p>
    <w:p w14:paraId="01F84B60" w14:textId="77777777" w:rsidR="004B704F" w:rsidRPr="00624E9D" w:rsidRDefault="004B704F"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
    <w:p w14:paraId="59323499" w14:textId="30128AC1" w:rsidR="00C56B72" w:rsidRPr="00624E9D" w:rsidRDefault="00C56B72"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noProof/>
          <w:color w:val="1F1F1F"/>
          <w:sz w:val="24"/>
          <w:szCs w:val="24"/>
          <w:lang w:val="en-US" w:eastAsia="en-US"/>
        </w:rPr>
        <w:drawing>
          <wp:inline distT="0" distB="0" distL="0" distR="0" wp14:anchorId="5261E1CF" wp14:editId="4C12B3F5">
            <wp:extent cx="5486400" cy="3200400"/>
            <wp:effectExtent l="19050" t="0" r="19050" b="19050"/>
            <wp:docPr id="130745935"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7F57153C" w14:textId="1E961B6C" w:rsidR="00C56B72" w:rsidRPr="00624E9D" w:rsidRDefault="00C56B72" w:rsidP="00F355FB">
      <w:pPr>
        <w:pBdr>
          <w:top w:val="nil"/>
          <w:left w:val="nil"/>
          <w:bottom w:val="nil"/>
          <w:right w:val="nil"/>
          <w:between w:val="nil"/>
        </w:pBdr>
        <w:spacing w:line="275" w:lineRule="auto"/>
        <w:ind w:left="600" w:right="600"/>
        <w:jc w:val="both"/>
        <w:rPr>
          <w:rFonts w:ascii="Times New Roman" w:eastAsia="Google Sans" w:hAnsi="Times New Roman" w:cs="Times New Roman"/>
          <w:color w:val="1F1F1F"/>
          <w:sz w:val="24"/>
          <w:szCs w:val="24"/>
        </w:rPr>
      </w:pPr>
    </w:p>
    <w:p w14:paraId="28E61A92" w14:textId="4A4662D0" w:rsidR="00C56B72" w:rsidRPr="00624E9D" w:rsidRDefault="004B704F" w:rsidP="007B2AD6">
      <w:pPr>
        <w:pBdr>
          <w:top w:val="nil"/>
          <w:left w:val="nil"/>
          <w:bottom w:val="nil"/>
          <w:right w:val="nil"/>
          <w:between w:val="nil"/>
        </w:pBdr>
        <w:spacing w:line="275" w:lineRule="auto"/>
        <w:ind w:right="600"/>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noProof/>
          <w:color w:val="1F1F1F"/>
          <w:sz w:val="24"/>
          <w:szCs w:val="24"/>
          <w:lang w:val="en-US" w:eastAsia="en-US"/>
        </w:rPr>
        <w:lastRenderedPageBreak/>
        <w:drawing>
          <wp:inline distT="0" distB="0" distL="0" distR="0" wp14:anchorId="09499DAF" wp14:editId="720FC707">
            <wp:extent cx="5486400" cy="1684020"/>
            <wp:effectExtent l="38100" t="0" r="38100" b="11430"/>
            <wp:docPr id="196388665"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inline>
        </w:drawing>
      </w:r>
    </w:p>
    <w:p w14:paraId="726F3404" w14:textId="77777777" w:rsidR="00F355FB" w:rsidRPr="00624E9D" w:rsidRDefault="00F355FB"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p>
    <w:p w14:paraId="6BD59CC3" w14:textId="7D16E57F"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METODE</w:t>
      </w:r>
    </w:p>
    <w:p w14:paraId="7CEBE424"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 xml:space="preserve">Penelitian ini didesain sebagai penelitian kausalitas kuantitatif yang mengandalkan observasi data sekunder. Populasi penelitian mencakup seluruh kampanye penerbitan instrumen keuangan syariah yang terdaftar dan ditawarkan melalui platform </w:t>
      </w:r>
      <w:r w:rsidRPr="00624E9D">
        <w:rPr>
          <w:rFonts w:ascii="Times New Roman" w:eastAsia="Google Sans" w:hAnsi="Times New Roman" w:cs="Times New Roman"/>
          <w:i/>
          <w:iCs/>
          <w:color w:val="1F1F1F"/>
          <w:sz w:val="24"/>
          <w:szCs w:val="24"/>
        </w:rPr>
        <w:t>Securitie</w:t>
      </w:r>
      <w:r w:rsidRPr="00624E9D">
        <w:rPr>
          <w:rFonts w:ascii="Times New Roman" w:eastAsia="Google Sans" w:hAnsi="Times New Roman" w:cs="Times New Roman"/>
          <w:i/>
          <w:iCs/>
          <w:color w:val="1F1F1F"/>
          <w:sz w:val="24"/>
          <w:szCs w:val="24"/>
        </w:rPr>
        <w:t>s Crowdfunding</w:t>
      </w:r>
      <w:r w:rsidRPr="00624E9D">
        <w:rPr>
          <w:rFonts w:ascii="Times New Roman" w:eastAsia="Google Sans" w:hAnsi="Times New Roman" w:cs="Times New Roman"/>
          <w:color w:val="1F1F1F"/>
          <w:sz w:val="24"/>
          <w:szCs w:val="24"/>
        </w:rPr>
        <w:t xml:space="preserve"> shafiq.id selama periode 2022 hingga awal 2025. Penarikan sampel menggunakan metode </w:t>
      </w:r>
      <w:r w:rsidRPr="00624E9D">
        <w:rPr>
          <w:rFonts w:ascii="Times New Roman" w:eastAsia="Google Sans" w:hAnsi="Times New Roman" w:cs="Times New Roman"/>
          <w:i/>
          <w:iCs/>
          <w:color w:val="1F1F1F"/>
          <w:sz w:val="24"/>
          <w:szCs w:val="24"/>
        </w:rPr>
        <w:t>purposive sampling</w:t>
      </w:r>
      <w:r w:rsidRPr="00624E9D">
        <w:rPr>
          <w:rFonts w:ascii="Times New Roman" w:eastAsia="Google Sans" w:hAnsi="Times New Roman" w:cs="Times New Roman"/>
          <w:color w:val="1F1F1F"/>
          <w:sz w:val="24"/>
          <w:szCs w:val="24"/>
        </w:rPr>
        <w:t xml:space="preserve"> berdasarkan kriteria inklusi: (1) Penawaran berupa instrumen Sukuk (bukan saham); (2) Kampanye pendanaan telah berstatus selesai (</w:t>
      </w:r>
      <w:r w:rsidRPr="00624E9D">
        <w:rPr>
          <w:rFonts w:ascii="Times New Roman" w:eastAsia="Google Sans" w:hAnsi="Times New Roman" w:cs="Times New Roman"/>
          <w:i/>
          <w:iCs/>
          <w:color w:val="1F1F1F"/>
          <w:sz w:val="24"/>
          <w:szCs w:val="24"/>
        </w:rPr>
        <w:t>closed f</w:t>
      </w:r>
      <w:r w:rsidRPr="00624E9D">
        <w:rPr>
          <w:rFonts w:ascii="Times New Roman" w:eastAsia="Google Sans" w:hAnsi="Times New Roman" w:cs="Times New Roman"/>
          <w:i/>
          <w:iCs/>
          <w:color w:val="1F1F1F"/>
          <w:sz w:val="24"/>
          <w:szCs w:val="24"/>
        </w:rPr>
        <w:t>unding</w:t>
      </w:r>
      <w:r w:rsidRPr="00624E9D">
        <w:rPr>
          <w:rFonts w:ascii="Times New Roman" w:eastAsia="Google Sans" w:hAnsi="Times New Roman" w:cs="Times New Roman"/>
          <w:color w:val="1F1F1F"/>
          <w:sz w:val="24"/>
          <w:szCs w:val="24"/>
        </w:rPr>
        <w:t>); dan (3) Tersedia data spesifik yang relevan dan dapat diselaraskan dengan data bulanan penetapan suku bunga acuan (BI-Rate).</w:t>
      </w:r>
    </w:p>
    <w:p w14:paraId="009C2A4D"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 xml:space="preserve">Pendekatan </w:t>
      </w:r>
      <w:r w:rsidRPr="00624E9D">
        <w:rPr>
          <w:rFonts w:ascii="Times New Roman" w:eastAsia="Google Sans" w:hAnsi="Times New Roman" w:cs="Times New Roman"/>
          <w:i/>
          <w:iCs/>
          <w:color w:val="1F1F1F"/>
          <w:sz w:val="24"/>
          <w:szCs w:val="24"/>
        </w:rPr>
        <w:t>Partial Least Squares Structural Equation Modeling</w:t>
      </w:r>
      <w:r w:rsidRPr="00624E9D">
        <w:rPr>
          <w:rFonts w:ascii="Times New Roman" w:eastAsia="Google Sans" w:hAnsi="Times New Roman" w:cs="Times New Roman"/>
          <w:color w:val="1F1F1F"/>
          <w:sz w:val="24"/>
          <w:szCs w:val="24"/>
        </w:rPr>
        <w:t xml:space="preserve"> (PLS-SEM) dipilih karena kemampuannya yang sangat baik dalam mengakomodasi kerangka riset berbasis prediksi yang melibatkan variabel interaksi moderasi (</w:t>
      </w:r>
      <w:r w:rsidRPr="00624E9D">
        <w:rPr>
          <w:rFonts w:ascii="Times New Roman" w:eastAsia="Google Sans" w:hAnsi="Times New Roman" w:cs="Times New Roman"/>
          <w:i/>
          <w:iCs/>
          <w:color w:val="1F1F1F"/>
          <w:sz w:val="24"/>
          <w:szCs w:val="24"/>
        </w:rPr>
        <w:t>interaction effects</w:t>
      </w:r>
      <w:r w:rsidRPr="00624E9D">
        <w:rPr>
          <w:rFonts w:ascii="Times New Roman" w:eastAsia="Google Sans" w:hAnsi="Times New Roman" w:cs="Times New Roman"/>
          <w:color w:val="1F1F1F"/>
          <w:sz w:val="24"/>
          <w:szCs w:val="24"/>
        </w:rPr>
        <w:t xml:space="preserve">), tanpa mensyaratkan ketatnya asumsi distribusi normalitas multivariat pada data. </w:t>
      </w:r>
      <w:r w:rsidRPr="00624E9D">
        <w:rPr>
          <w:rFonts w:ascii="Times New Roman" w:eastAsia="Google Sans" w:hAnsi="Times New Roman" w:cs="Times New Roman"/>
          <w:color w:val="1F1F1F"/>
          <w:sz w:val="24"/>
          <w:szCs w:val="24"/>
        </w:rPr>
        <w:t>Model konseptual jalur (</w:t>
      </w:r>
      <w:r w:rsidRPr="00624E9D">
        <w:rPr>
          <w:rFonts w:ascii="Times New Roman" w:eastAsia="Google Sans" w:hAnsi="Times New Roman" w:cs="Times New Roman"/>
          <w:i/>
          <w:iCs/>
          <w:color w:val="1F1F1F"/>
          <w:sz w:val="24"/>
          <w:szCs w:val="24"/>
        </w:rPr>
        <w:t>path model</w:t>
      </w:r>
      <w:r w:rsidRPr="00624E9D">
        <w:rPr>
          <w:rFonts w:ascii="Times New Roman" w:eastAsia="Google Sans" w:hAnsi="Times New Roman" w:cs="Times New Roman"/>
          <w:color w:val="1F1F1F"/>
          <w:sz w:val="24"/>
          <w:szCs w:val="24"/>
        </w:rPr>
        <w:t>) dalam penelitian ini mencakup:</w:t>
      </w:r>
    </w:p>
    <w:p w14:paraId="020F6AC6" w14:textId="77777777" w:rsidR="003E2468" w:rsidRPr="00624E9D" w:rsidRDefault="00624E9D" w:rsidP="00F355FB">
      <w:pPr>
        <w:numPr>
          <w:ilvl w:val="0"/>
          <w:numId w:val="2"/>
        </w:numPr>
        <w:pBdr>
          <w:top w:val="nil"/>
          <w:left w:val="nil"/>
          <w:bottom w:val="nil"/>
          <w:right w:val="nil"/>
          <w:between w:val="nil"/>
        </w:pBdr>
        <w:spacing w:line="275" w:lineRule="auto"/>
        <w:jc w:val="both"/>
        <w:rPr>
          <w:rFonts w:ascii="Times New Roman" w:hAnsi="Times New Roman" w:cs="Times New Roman"/>
          <w:sz w:val="24"/>
          <w:szCs w:val="24"/>
        </w:rPr>
      </w:pPr>
      <w:r w:rsidRPr="00624E9D">
        <w:rPr>
          <w:rFonts w:ascii="Times New Roman" w:eastAsia="Google Sans" w:hAnsi="Times New Roman" w:cs="Times New Roman"/>
          <w:color w:val="1F1F1F"/>
          <w:sz w:val="24"/>
          <w:szCs w:val="24"/>
        </w:rPr>
        <w:t>Variabel Eksogen: Tingkat ROI, Tenor Sukuk (TS), dan Nilai Pendanaan (NP - ditransformasi ke dalam bentuk Logaritma Natural untuk standardisasi skala data).</w:t>
      </w:r>
    </w:p>
    <w:p w14:paraId="247FD425" w14:textId="77777777" w:rsidR="003E2468" w:rsidRPr="00624E9D" w:rsidRDefault="00624E9D" w:rsidP="00F355FB">
      <w:pPr>
        <w:numPr>
          <w:ilvl w:val="0"/>
          <w:numId w:val="2"/>
        </w:numPr>
        <w:pBdr>
          <w:top w:val="nil"/>
          <w:left w:val="nil"/>
          <w:bottom w:val="nil"/>
          <w:right w:val="nil"/>
          <w:between w:val="nil"/>
        </w:pBdr>
        <w:spacing w:line="275" w:lineRule="auto"/>
        <w:jc w:val="both"/>
        <w:rPr>
          <w:rFonts w:ascii="Times New Roman" w:hAnsi="Times New Roman" w:cs="Times New Roman"/>
          <w:sz w:val="24"/>
          <w:szCs w:val="24"/>
        </w:rPr>
      </w:pPr>
      <w:r w:rsidRPr="00624E9D">
        <w:rPr>
          <w:rFonts w:ascii="Times New Roman" w:eastAsia="Google Sans" w:hAnsi="Times New Roman" w:cs="Times New Roman"/>
          <w:color w:val="1F1F1F"/>
          <w:sz w:val="24"/>
          <w:szCs w:val="24"/>
        </w:rPr>
        <w:t>Variabel Endogen: Jumlah Partisi</w:t>
      </w:r>
      <w:r w:rsidRPr="00624E9D">
        <w:rPr>
          <w:rFonts w:ascii="Times New Roman" w:eastAsia="Google Sans" w:hAnsi="Times New Roman" w:cs="Times New Roman"/>
          <w:color w:val="1F1F1F"/>
          <w:sz w:val="24"/>
          <w:szCs w:val="24"/>
        </w:rPr>
        <w:t>pasi Pemodal (Y).</w:t>
      </w:r>
    </w:p>
    <w:p w14:paraId="56FA66D8" w14:textId="77777777" w:rsidR="003E2468" w:rsidRPr="00624E9D" w:rsidRDefault="00624E9D" w:rsidP="00F355FB">
      <w:pPr>
        <w:numPr>
          <w:ilvl w:val="0"/>
          <w:numId w:val="2"/>
        </w:numPr>
        <w:pBdr>
          <w:top w:val="nil"/>
          <w:left w:val="nil"/>
          <w:bottom w:val="nil"/>
          <w:right w:val="nil"/>
          <w:between w:val="nil"/>
        </w:pBdr>
        <w:spacing w:line="275" w:lineRule="auto"/>
        <w:jc w:val="both"/>
        <w:rPr>
          <w:rFonts w:ascii="Times New Roman" w:hAnsi="Times New Roman" w:cs="Times New Roman"/>
          <w:sz w:val="24"/>
          <w:szCs w:val="24"/>
        </w:rPr>
      </w:pPr>
      <w:r w:rsidRPr="00624E9D">
        <w:rPr>
          <w:rFonts w:ascii="Times New Roman" w:eastAsia="Google Sans" w:hAnsi="Times New Roman" w:cs="Times New Roman"/>
          <w:color w:val="1F1F1F"/>
          <w:sz w:val="24"/>
          <w:szCs w:val="24"/>
        </w:rPr>
        <w:t>Variabel Moderasi: BI-Rate (BR), sebagai variabel rasio persentase (%) suku bunga acuan pada momentum instrumen ditawarkan.</w:t>
      </w:r>
    </w:p>
    <w:p w14:paraId="5F483E07"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 xml:space="preserve">Data dianalisis menggunakan </w:t>
      </w:r>
      <w:r w:rsidRPr="00624E9D">
        <w:rPr>
          <w:rFonts w:ascii="Times New Roman" w:eastAsia="Google Sans" w:hAnsi="Times New Roman" w:cs="Times New Roman"/>
          <w:i/>
          <w:iCs/>
          <w:color w:val="1F1F1F"/>
          <w:sz w:val="24"/>
          <w:szCs w:val="24"/>
        </w:rPr>
        <w:t>software</w:t>
      </w:r>
      <w:r w:rsidRPr="00624E9D">
        <w:rPr>
          <w:rFonts w:ascii="Times New Roman" w:eastAsia="Google Sans" w:hAnsi="Times New Roman" w:cs="Times New Roman"/>
          <w:color w:val="1F1F1F"/>
          <w:sz w:val="24"/>
          <w:szCs w:val="24"/>
        </w:rPr>
        <w:t xml:space="preserve"> </w:t>
      </w:r>
      <w:r w:rsidRPr="00624E9D">
        <w:rPr>
          <w:rFonts w:ascii="Times New Roman" w:eastAsia="Google Sans" w:hAnsi="Times New Roman" w:cs="Times New Roman"/>
          <w:b/>
          <w:bCs/>
          <w:color w:val="1F1F1F"/>
          <w:sz w:val="24"/>
          <w:szCs w:val="24"/>
        </w:rPr>
        <w:t>SmartPLS</w:t>
      </w:r>
      <w:r w:rsidRPr="00624E9D">
        <w:rPr>
          <w:rFonts w:ascii="Times New Roman" w:eastAsia="Google Sans" w:hAnsi="Times New Roman" w:cs="Times New Roman"/>
          <w:color w:val="1F1F1F"/>
          <w:sz w:val="24"/>
          <w:szCs w:val="24"/>
        </w:rPr>
        <w:t>. Mengingat penggunaan data sekunder berupa data mutlak/indikator tun</w:t>
      </w:r>
      <w:r w:rsidRPr="00624E9D">
        <w:rPr>
          <w:rFonts w:ascii="Times New Roman" w:eastAsia="Google Sans" w:hAnsi="Times New Roman" w:cs="Times New Roman"/>
          <w:color w:val="1F1F1F"/>
          <w:sz w:val="24"/>
          <w:szCs w:val="24"/>
        </w:rPr>
        <w:t>ggal (</w:t>
      </w:r>
      <w:r w:rsidRPr="00624E9D">
        <w:rPr>
          <w:rFonts w:ascii="Times New Roman" w:eastAsia="Google Sans" w:hAnsi="Times New Roman" w:cs="Times New Roman"/>
          <w:i/>
          <w:iCs/>
          <w:color w:val="1F1F1F"/>
          <w:sz w:val="24"/>
          <w:szCs w:val="24"/>
        </w:rPr>
        <w:t>single indicator construct</w:t>
      </w:r>
      <w:r w:rsidRPr="00624E9D">
        <w:rPr>
          <w:rFonts w:ascii="Times New Roman" w:eastAsia="Google Sans" w:hAnsi="Times New Roman" w:cs="Times New Roman"/>
          <w:color w:val="1F1F1F"/>
          <w:sz w:val="24"/>
          <w:szCs w:val="24"/>
        </w:rPr>
        <w:t>), maka evaluasi model pengukuran (</w:t>
      </w:r>
      <w:r w:rsidRPr="00624E9D">
        <w:rPr>
          <w:rFonts w:ascii="Times New Roman" w:eastAsia="Google Sans" w:hAnsi="Times New Roman" w:cs="Times New Roman"/>
          <w:i/>
          <w:iCs/>
          <w:color w:val="1F1F1F"/>
          <w:sz w:val="24"/>
          <w:szCs w:val="24"/>
        </w:rPr>
        <w:t>outer model</w:t>
      </w:r>
      <w:r w:rsidRPr="00624E9D">
        <w:rPr>
          <w:rFonts w:ascii="Times New Roman" w:eastAsia="Google Sans" w:hAnsi="Times New Roman" w:cs="Times New Roman"/>
          <w:color w:val="1F1F1F"/>
          <w:sz w:val="24"/>
          <w:szCs w:val="24"/>
        </w:rPr>
        <w:t>) diasumsikan valid dan reliabel secara inheren. Oleh karena itu, tahapan analisis langsung difokuskan pada:</w:t>
      </w:r>
    </w:p>
    <w:p w14:paraId="718074B2" w14:textId="77777777" w:rsidR="003E2468" w:rsidRPr="00624E9D" w:rsidRDefault="00624E9D" w:rsidP="00F355FB">
      <w:pPr>
        <w:numPr>
          <w:ilvl w:val="0"/>
          <w:numId w:val="3"/>
        </w:numPr>
        <w:pBdr>
          <w:top w:val="nil"/>
          <w:left w:val="nil"/>
          <w:bottom w:val="nil"/>
          <w:right w:val="nil"/>
          <w:between w:val="nil"/>
        </w:pBdr>
        <w:spacing w:line="275" w:lineRule="auto"/>
        <w:jc w:val="both"/>
        <w:rPr>
          <w:rFonts w:ascii="Times New Roman" w:hAnsi="Times New Roman" w:cs="Times New Roman"/>
          <w:sz w:val="24"/>
          <w:szCs w:val="24"/>
        </w:rPr>
      </w:pPr>
      <w:r w:rsidRPr="00624E9D">
        <w:rPr>
          <w:rFonts w:ascii="Times New Roman" w:eastAsia="Google Sans" w:hAnsi="Times New Roman" w:cs="Times New Roman"/>
          <w:b/>
          <w:bCs/>
          <w:color w:val="1F1F1F"/>
          <w:sz w:val="24"/>
          <w:szCs w:val="24"/>
        </w:rPr>
        <w:t>Analisis Statistik Deskriptif:</w:t>
      </w:r>
      <w:r w:rsidRPr="00624E9D">
        <w:rPr>
          <w:rFonts w:ascii="Times New Roman" w:eastAsia="Google Sans" w:hAnsi="Times New Roman" w:cs="Times New Roman"/>
          <w:color w:val="1F1F1F"/>
          <w:sz w:val="24"/>
          <w:szCs w:val="24"/>
        </w:rPr>
        <w:t xml:space="preserve"> Mengkaji sebaran data melalui nilai minimum, maksimum, rata-rata (</w:t>
      </w:r>
      <w:r w:rsidRPr="00624E9D">
        <w:rPr>
          <w:rFonts w:ascii="Times New Roman" w:eastAsia="Google Sans" w:hAnsi="Times New Roman" w:cs="Times New Roman"/>
          <w:i/>
          <w:iCs/>
          <w:color w:val="1F1F1F"/>
          <w:sz w:val="24"/>
          <w:szCs w:val="24"/>
        </w:rPr>
        <w:t>mean</w:t>
      </w:r>
      <w:r w:rsidRPr="00624E9D">
        <w:rPr>
          <w:rFonts w:ascii="Times New Roman" w:eastAsia="Google Sans" w:hAnsi="Times New Roman" w:cs="Times New Roman"/>
          <w:color w:val="1F1F1F"/>
          <w:sz w:val="24"/>
          <w:szCs w:val="24"/>
        </w:rPr>
        <w:t>), dan standar deviasi dari masing-masing variabel penelitian.</w:t>
      </w:r>
    </w:p>
    <w:p w14:paraId="6809CEEB" w14:textId="016B06DB" w:rsidR="003E2468" w:rsidRPr="00624E9D" w:rsidRDefault="00624E9D" w:rsidP="00F355FB">
      <w:pPr>
        <w:numPr>
          <w:ilvl w:val="0"/>
          <w:numId w:val="3"/>
        </w:numPr>
        <w:pBdr>
          <w:top w:val="nil"/>
          <w:left w:val="nil"/>
          <w:bottom w:val="nil"/>
          <w:right w:val="nil"/>
          <w:between w:val="nil"/>
        </w:pBdr>
        <w:spacing w:line="275" w:lineRule="auto"/>
        <w:jc w:val="both"/>
        <w:rPr>
          <w:rFonts w:ascii="Times New Roman" w:hAnsi="Times New Roman" w:cs="Times New Roman"/>
          <w:sz w:val="24"/>
          <w:szCs w:val="24"/>
        </w:rPr>
      </w:pPr>
      <w:r w:rsidRPr="00624E9D">
        <w:rPr>
          <w:rFonts w:ascii="Times New Roman" w:eastAsia="Google Sans" w:hAnsi="Times New Roman" w:cs="Times New Roman"/>
          <w:b/>
          <w:bCs/>
          <w:color w:val="1F1F1F"/>
          <w:sz w:val="24"/>
          <w:szCs w:val="24"/>
        </w:rPr>
        <w:t>Evaluasi Model Struktural (</w:t>
      </w:r>
      <w:r w:rsidRPr="00624E9D">
        <w:rPr>
          <w:rFonts w:ascii="Times New Roman" w:eastAsia="Google Sans" w:hAnsi="Times New Roman" w:cs="Times New Roman"/>
          <w:b/>
          <w:bCs/>
          <w:i/>
          <w:iCs/>
          <w:color w:val="1F1F1F"/>
          <w:sz w:val="24"/>
          <w:szCs w:val="24"/>
        </w:rPr>
        <w:t>Inner Model</w:t>
      </w:r>
      <w:r w:rsidRPr="00624E9D">
        <w:rPr>
          <w:rFonts w:ascii="Times New Roman" w:eastAsia="Google Sans" w:hAnsi="Times New Roman" w:cs="Times New Roman"/>
          <w:b/>
          <w:bCs/>
          <w:color w:val="1F1F1F"/>
          <w:sz w:val="24"/>
          <w:szCs w:val="24"/>
        </w:rPr>
        <w:t>):</w:t>
      </w:r>
      <w:r w:rsidRPr="00624E9D">
        <w:rPr>
          <w:rFonts w:ascii="Times New Roman" w:eastAsia="Google Sans" w:hAnsi="Times New Roman" w:cs="Times New Roman"/>
          <w:color w:val="1F1F1F"/>
          <w:sz w:val="24"/>
          <w:szCs w:val="24"/>
        </w:rPr>
        <w:t xml:space="preserve"> Menilai kekuatan arsitektur model melalui koefisien determinasi (</w:t>
      </w:r>
      <w:r w:rsidR="00073C62" w:rsidRPr="00624E9D">
        <w:rPr>
          <w:rFonts w:ascii="Times New Roman" w:eastAsia="Google Sans" w:hAnsi="Times New Roman" w:cs="Times New Roman"/>
          <w:noProof/>
          <w:color w:val="1F1F1F"/>
          <w:sz w:val="24"/>
          <w:szCs w:val="24"/>
        </w:rPr>
        <w:t>R</w:t>
      </w:r>
      <w:r w:rsidR="00073C62" w:rsidRPr="00624E9D">
        <w:rPr>
          <w:rFonts w:ascii="Times New Roman" w:eastAsia="Google Sans" w:hAnsi="Times New Roman" w:cs="Times New Roman"/>
          <w:noProof/>
          <w:color w:val="1F1F1F"/>
          <w:sz w:val="24"/>
          <w:szCs w:val="24"/>
          <w:vertAlign w:val="superscript"/>
        </w:rPr>
        <w:t>2</w:t>
      </w:r>
      <w:r w:rsidRPr="00624E9D">
        <w:rPr>
          <w:rFonts w:ascii="Times New Roman" w:eastAsia="Google Sans" w:hAnsi="Times New Roman" w:cs="Times New Roman"/>
          <w:color w:val="1F1F1F"/>
          <w:sz w:val="24"/>
          <w:szCs w:val="24"/>
        </w:rPr>
        <w:t>) untuk menguk</w:t>
      </w:r>
      <w:r w:rsidRPr="00624E9D">
        <w:rPr>
          <w:rFonts w:ascii="Times New Roman" w:eastAsia="Google Sans" w:hAnsi="Times New Roman" w:cs="Times New Roman"/>
          <w:color w:val="1F1F1F"/>
          <w:sz w:val="24"/>
          <w:szCs w:val="24"/>
        </w:rPr>
        <w:t xml:space="preserve">ur varians variabel endogen yang dapat dijelaskan, </w:t>
      </w:r>
      <w:r w:rsidRPr="00624E9D">
        <w:rPr>
          <w:rFonts w:ascii="Times New Roman" w:eastAsia="Google Sans" w:hAnsi="Times New Roman" w:cs="Times New Roman"/>
          <w:i/>
          <w:iCs/>
          <w:color w:val="1F1F1F"/>
          <w:sz w:val="24"/>
          <w:szCs w:val="24"/>
        </w:rPr>
        <w:t>effect size</w:t>
      </w:r>
      <w:r w:rsidRPr="00624E9D">
        <w:rPr>
          <w:rFonts w:ascii="Times New Roman" w:eastAsia="Google Sans" w:hAnsi="Times New Roman" w:cs="Times New Roman"/>
          <w:color w:val="1F1F1F"/>
          <w:sz w:val="24"/>
          <w:szCs w:val="24"/>
        </w:rPr>
        <w:t xml:space="preserve"> (</w:t>
      </w:r>
      <w:r w:rsidR="00073C62" w:rsidRPr="00624E9D">
        <w:rPr>
          <w:rFonts w:ascii="Times New Roman" w:eastAsia="Google Sans" w:hAnsi="Times New Roman" w:cs="Times New Roman"/>
          <w:noProof/>
          <w:color w:val="1F1F1F"/>
          <w:sz w:val="24"/>
          <w:szCs w:val="24"/>
        </w:rPr>
        <w:t>f</w:t>
      </w:r>
      <w:r w:rsidR="00073C62" w:rsidRPr="00624E9D">
        <w:rPr>
          <w:rFonts w:ascii="Times New Roman" w:eastAsia="Google Sans" w:hAnsi="Times New Roman" w:cs="Times New Roman"/>
          <w:noProof/>
          <w:color w:val="1F1F1F"/>
          <w:sz w:val="24"/>
          <w:szCs w:val="24"/>
          <w:vertAlign w:val="superscript"/>
        </w:rPr>
        <w:t>2</w:t>
      </w:r>
      <w:r w:rsidRPr="00624E9D">
        <w:rPr>
          <w:rFonts w:ascii="Times New Roman" w:eastAsia="Google Sans" w:hAnsi="Times New Roman" w:cs="Times New Roman"/>
          <w:color w:val="1F1F1F"/>
          <w:sz w:val="24"/>
          <w:szCs w:val="24"/>
        </w:rPr>
        <w:t xml:space="preserve">) untuk menilai signifikansi praktis eksogen, dan </w:t>
      </w:r>
      <w:r w:rsidRPr="00624E9D">
        <w:rPr>
          <w:rFonts w:ascii="Times New Roman" w:eastAsia="Google Sans" w:hAnsi="Times New Roman" w:cs="Times New Roman"/>
          <w:i/>
          <w:iCs/>
          <w:color w:val="1F1F1F"/>
          <w:sz w:val="24"/>
          <w:szCs w:val="24"/>
        </w:rPr>
        <w:t>predictive relevance</w:t>
      </w:r>
      <w:r w:rsidRPr="00624E9D">
        <w:rPr>
          <w:rFonts w:ascii="Times New Roman" w:eastAsia="Google Sans" w:hAnsi="Times New Roman" w:cs="Times New Roman"/>
          <w:color w:val="1F1F1F"/>
          <w:sz w:val="24"/>
          <w:szCs w:val="24"/>
        </w:rPr>
        <w:t xml:space="preserve"> (</w:t>
      </w:r>
      <w:r w:rsidR="00073C62" w:rsidRPr="00624E9D">
        <w:rPr>
          <w:rFonts w:ascii="Times New Roman" w:eastAsia="Google Sans" w:hAnsi="Times New Roman" w:cs="Times New Roman"/>
          <w:noProof/>
          <w:color w:val="1F1F1F"/>
          <w:sz w:val="24"/>
          <w:szCs w:val="24"/>
        </w:rPr>
        <w:t>Q</w:t>
      </w:r>
      <w:r w:rsidR="00073C62" w:rsidRPr="00624E9D">
        <w:rPr>
          <w:rFonts w:ascii="Times New Roman" w:eastAsia="Google Sans" w:hAnsi="Times New Roman" w:cs="Times New Roman"/>
          <w:noProof/>
          <w:color w:val="1F1F1F"/>
          <w:sz w:val="24"/>
          <w:szCs w:val="24"/>
          <w:vertAlign w:val="superscript"/>
        </w:rPr>
        <w:t>2</w:t>
      </w:r>
      <w:r w:rsidRPr="00624E9D">
        <w:rPr>
          <w:rFonts w:ascii="Times New Roman" w:eastAsia="Google Sans" w:hAnsi="Times New Roman" w:cs="Times New Roman"/>
          <w:color w:val="1F1F1F"/>
          <w:sz w:val="24"/>
          <w:szCs w:val="24"/>
        </w:rPr>
        <w:t>) guna memvalidasi ketepatan prediksi model.</w:t>
      </w:r>
    </w:p>
    <w:p w14:paraId="5B53E9C2" w14:textId="77777777" w:rsidR="003E2468" w:rsidRPr="00624E9D" w:rsidRDefault="00624E9D" w:rsidP="00F355FB">
      <w:pPr>
        <w:numPr>
          <w:ilvl w:val="0"/>
          <w:numId w:val="3"/>
        </w:numPr>
        <w:pBdr>
          <w:top w:val="nil"/>
          <w:left w:val="nil"/>
          <w:bottom w:val="nil"/>
          <w:right w:val="nil"/>
          <w:between w:val="nil"/>
        </w:pBdr>
        <w:spacing w:line="275" w:lineRule="auto"/>
        <w:jc w:val="both"/>
        <w:rPr>
          <w:rFonts w:ascii="Times New Roman" w:hAnsi="Times New Roman" w:cs="Times New Roman"/>
          <w:sz w:val="24"/>
          <w:szCs w:val="24"/>
        </w:rPr>
      </w:pPr>
      <w:r w:rsidRPr="00624E9D">
        <w:rPr>
          <w:rFonts w:ascii="Times New Roman" w:eastAsia="Google Sans" w:hAnsi="Times New Roman" w:cs="Times New Roman"/>
          <w:b/>
          <w:bCs/>
          <w:color w:val="1F1F1F"/>
          <w:sz w:val="24"/>
          <w:szCs w:val="24"/>
        </w:rPr>
        <w:t>Pengujian Hipotesis (</w:t>
      </w:r>
      <w:r w:rsidRPr="00624E9D">
        <w:rPr>
          <w:rFonts w:ascii="Times New Roman" w:eastAsia="Google Sans" w:hAnsi="Times New Roman" w:cs="Times New Roman"/>
          <w:b/>
          <w:bCs/>
          <w:i/>
          <w:iCs/>
          <w:color w:val="1F1F1F"/>
          <w:sz w:val="24"/>
          <w:szCs w:val="24"/>
        </w:rPr>
        <w:t>Direct Effect</w:t>
      </w:r>
      <w:r w:rsidRPr="00624E9D">
        <w:rPr>
          <w:rFonts w:ascii="Times New Roman" w:eastAsia="Google Sans" w:hAnsi="Times New Roman" w:cs="Times New Roman"/>
          <w:b/>
          <w:bCs/>
          <w:color w:val="1F1F1F"/>
          <w:sz w:val="24"/>
          <w:szCs w:val="24"/>
        </w:rPr>
        <w:t>):</w:t>
      </w:r>
      <w:r w:rsidRPr="00624E9D">
        <w:rPr>
          <w:rFonts w:ascii="Times New Roman" w:eastAsia="Google Sans" w:hAnsi="Times New Roman" w:cs="Times New Roman"/>
          <w:color w:val="1F1F1F"/>
          <w:sz w:val="24"/>
          <w:szCs w:val="24"/>
        </w:rPr>
        <w:t xml:space="preserve"> Dijalankan melalui prosedur </w:t>
      </w:r>
      <w:r w:rsidRPr="00624E9D">
        <w:rPr>
          <w:rFonts w:ascii="Times New Roman" w:eastAsia="Google Sans" w:hAnsi="Times New Roman" w:cs="Times New Roman"/>
          <w:i/>
          <w:iCs/>
          <w:color w:val="1F1F1F"/>
          <w:sz w:val="24"/>
          <w:szCs w:val="24"/>
        </w:rPr>
        <w:t>Bootstrapping</w:t>
      </w:r>
      <w:r w:rsidRPr="00624E9D">
        <w:rPr>
          <w:rFonts w:ascii="Times New Roman" w:eastAsia="Google Sans" w:hAnsi="Times New Roman" w:cs="Times New Roman"/>
          <w:color w:val="1F1F1F"/>
          <w:sz w:val="24"/>
          <w:szCs w:val="24"/>
        </w:rPr>
        <w:t xml:space="preserve"> dengan pengulangan 5.000 subsampel untuk menghasilkan nilai </w:t>
      </w:r>
      <w:r w:rsidRPr="00624E9D">
        <w:rPr>
          <w:rFonts w:ascii="Times New Roman" w:eastAsia="Google Sans" w:hAnsi="Times New Roman" w:cs="Times New Roman"/>
          <w:i/>
          <w:iCs/>
          <w:color w:val="1F1F1F"/>
          <w:sz w:val="24"/>
          <w:szCs w:val="24"/>
        </w:rPr>
        <w:t>path coefficient</w:t>
      </w:r>
      <w:r w:rsidRPr="00624E9D">
        <w:rPr>
          <w:rFonts w:ascii="Times New Roman" w:eastAsia="Google Sans" w:hAnsi="Times New Roman" w:cs="Times New Roman"/>
          <w:color w:val="1F1F1F"/>
          <w:sz w:val="24"/>
          <w:szCs w:val="24"/>
        </w:rPr>
        <w:t xml:space="preserve">, </w:t>
      </w:r>
      <w:r w:rsidRPr="00624E9D">
        <w:rPr>
          <w:rFonts w:ascii="Times New Roman" w:eastAsia="Google Sans" w:hAnsi="Times New Roman" w:cs="Times New Roman"/>
          <w:i/>
          <w:iCs/>
          <w:color w:val="1F1F1F"/>
          <w:sz w:val="24"/>
          <w:szCs w:val="24"/>
        </w:rPr>
        <w:t>T-statistics</w:t>
      </w:r>
      <w:r w:rsidRPr="00624E9D">
        <w:rPr>
          <w:rFonts w:ascii="Times New Roman" w:eastAsia="Google Sans" w:hAnsi="Times New Roman" w:cs="Times New Roman"/>
          <w:color w:val="1F1F1F"/>
          <w:sz w:val="24"/>
          <w:szCs w:val="24"/>
        </w:rPr>
        <w:t xml:space="preserve">, dan </w:t>
      </w:r>
      <w:r w:rsidRPr="00624E9D">
        <w:rPr>
          <w:rFonts w:ascii="Times New Roman" w:eastAsia="Google Sans" w:hAnsi="Times New Roman" w:cs="Times New Roman"/>
          <w:i/>
          <w:iCs/>
          <w:color w:val="1F1F1F"/>
          <w:sz w:val="24"/>
          <w:szCs w:val="24"/>
        </w:rPr>
        <w:t>P-values</w:t>
      </w:r>
      <w:r w:rsidRPr="00624E9D">
        <w:rPr>
          <w:rFonts w:ascii="Times New Roman" w:eastAsia="Google Sans" w:hAnsi="Times New Roman" w:cs="Times New Roman"/>
          <w:color w:val="1F1F1F"/>
          <w:sz w:val="24"/>
          <w:szCs w:val="24"/>
        </w:rPr>
        <w:t xml:space="preserve">. Suatu hipotesis dinyatakan terdukung apabila </w:t>
      </w:r>
      <w:r w:rsidRPr="00624E9D">
        <w:rPr>
          <w:rFonts w:ascii="Times New Roman" w:eastAsia="Google Sans" w:hAnsi="Times New Roman" w:cs="Times New Roman"/>
          <w:i/>
          <w:iCs/>
          <w:color w:val="1F1F1F"/>
          <w:sz w:val="24"/>
          <w:szCs w:val="24"/>
        </w:rPr>
        <w:t>P-value</w:t>
      </w:r>
      <w:r w:rsidRPr="00624E9D">
        <w:rPr>
          <w:rFonts w:ascii="Times New Roman" w:eastAsia="Google Sans" w:hAnsi="Times New Roman" w:cs="Times New Roman"/>
          <w:color w:val="1F1F1F"/>
          <w:sz w:val="24"/>
          <w:szCs w:val="24"/>
        </w:rPr>
        <w:t xml:space="preserve"> &lt; 0,05 dan </w:t>
      </w:r>
      <w:r w:rsidRPr="00624E9D">
        <w:rPr>
          <w:rFonts w:ascii="Times New Roman" w:eastAsia="Google Sans" w:hAnsi="Times New Roman" w:cs="Times New Roman"/>
          <w:i/>
          <w:iCs/>
          <w:color w:val="1F1F1F"/>
          <w:sz w:val="24"/>
          <w:szCs w:val="24"/>
        </w:rPr>
        <w:t>T-statistics</w:t>
      </w:r>
      <w:r w:rsidRPr="00624E9D">
        <w:rPr>
          <w:rFonts w:ascii="Times New Roman" w:eastAsia="Google Sans" w:hAnsi="Times New Roman" w:cs="Times New Roman"/>
          <w:color w:val="1F1F1F"/>
          <w:sz w:val="24"/>
          <w:szCs w:val="24"/>
        </w:rPr>
        <w:t xml:space="preserve"> &gt; 1,96.</w:t>
      </w:r>
    </w:p>
    <w:p w14:paraId="3D3B8FE4" w14:textId="77777777" w:rsidR="003E2468" w:rsidRPr="00624E9D" w:rsidRDefault="00624E9D" w:rsidP="00F355FB">
      <w:pPr>
        <w:numPr>
          <w:ilvl w:val="0"/>
          <w:numId w:val="3"/>
        </w:numPr>
        <w:pBdr>
          <w:top w:val="nil"/>
          <w:left w:val="nil"/>
          <w:bottom w:val="nil"/>
          <w:right w:val="nil"/>
          <w:between w:val="nil"/>
        </w:pBdr>
        <w:spacing w:line="275" w:lineRule="auto"/>
        <w:jc w:val="both"/>
        <w:rPr>
          <w:rFonts w:ascii="Times New Roman" w:hAnsi="Times New Roman" w:cs="Times New Roman"/>
          <w:sz w:val="24"/>
          <w:szCs w:val="24"/>
        </w:rPr>
      </w:pPr>
      <w:r w:rsidRPr="00624E9D">
        <w:rPr>
          <w:rFonts w:ascii="Times New Roman" w:eastAsia="Google Sans" w:hAnsi="Times New Roman" w:cs="Times New Roman"/>
          <w:b/>
          <w:bCs/>
          <w:color w:val="1F1F1F"/>
          <w:sz w:val="24"/>
          <w:szCs w:val="24"/>
        </w:rPr>
        <w:lastRenderedPageBreak/>
        <w:t>Pengujian Efek Moderasi:</w:t>
      </w:r>
      <w:r w:rsidRPr="00624E9D">
        <w:rPr>
          <w:rFonts w:ascii="Times New Roman" w:eastAsia="Google Sans" w:hAnsi="Times New Roman" w:cs="Times New Roman"/>
          <w:color w:val="1F1F1F"/>
          <w:sz w:val="24"/>
          <w:szCs w:val="24"/>
        </w:rPr>
        <w:t xml:space="preserve"> Variabel BI-Rate bersifat </w:t>
      </w:r>
      <w:r w:rsidRPr="00624E9D">
        <w:rPr>
          <w:rFonts w:ascii="Times New Roman" w:eastAsia="Google Sans" w:hAnsi="Times New Roman" w:cs="Times New Roman"/>
          <w:color w:val="1F1F1F"/>
          <w:sz w:val="24"/>
          <w:szCs w:val="24"/>
        </w:rPr>
        <w:t xml:space="preserve">kontinu, sehingga analisis moderasi diterapkan menggunakan pendekatan </w:t>
      </w:r>
      <w:r w:rsidRPr="00624E9D">
        <w:rPr>
          <w:rFonts w:ascii="Times New Roman" w:eastAsia="Google Sans" w:hAnsi="Times New Roman" w:cs="Times New Roman"/>
          <w:i/>
          <w:iCs/>
          <w:color w:val="1F1F1F"/>
          <w:sz w:val="24"/>
          <w:szCs w:val="24"/>
        </w:rPr>
        <w:t>Product Indicator / Two-Stage Approach</w:t>
      </w:r>
      <w:r w:rsidRPr="00624E9D">
        <w:rPr>
          <w:rFonts w:ascii="Times New Roman" w:eastAsia="Google Sans" w:hAnsi="Times New Roman" w:cs="Times New Roman"/>
          <w:color w:val="1F1F1F"/>
          <w:sz w:val="24"/>
          <w:szCs w:val="24"/>
        </w:rPr>
        <w:t>. Proses ini mengalikan nilai indikator variabel eksogen dengan indikator moderator (ROI*BR, TS*BR, NP*BR), yang selanjutnya di-</w:t>
      </w:r>
      <w:r w:rsidRPr="00624E9D">
        <w:rPr>
          <w:rFonts w:ascii="Times New Roman" w:eastAsia="Google Sans" w:hAnsi="Times New Roman" w:cs="Times New Roman"/>
          <w:i/>
          <w:iCs/>
          <w:color w:val="1F1F1F"/>
          <w:sz w:val="24"/>
          <w:szCs w:val="24"/>
        </w:rPr>
        <w:t>bootstrapping</w:t>
      </w:r>
      <w:r w:rsidRPr="00624E9D">
        <w:rPr>
          <w:rFonts w:ascii="Times New Roman" w:eastAsia="Google Sans" w:hAnsi="Times New Roman" w:cs="Times New Roman"/>
          <w:color w:val="1F1F1F"/>
          <w:sz w:val="24"/>
          <w:szCs w:val="24"/>
        </w:rPr>
        <w:t xml:space="preserve"> untuk </w:t>
      </w:r>
      <w:r w:rsidRPr="00624E9D">
        <w:rPr>
          <w:rFonts w:ascii="Times New Roman" w:eastAsia="Google Sans" w:hAnsi="Times New Roman" w:cs="Times New Roman"/>
          <w:color w:val="1F1F1F"/>
          <w:sz w:val="24"/>
          <w:szCs w:val="24"/>
        </w:rPr>
        <w:t>mengonfirmasi signifikansi perannya dalam memperkuat atau memperlemah hubungan kausalitas terhadap partisipasi pemodal.</w:t>
      </w:r>
    </w:p>
    <w:p w14:paraId="67613898" w14:textId="77777777" w:rsidR="00F355FB" w:rsidRPr="00624E9D" w:rsidRDefault="00F355FB" w:rsidP="00073C62">
      <w:pPr>
        <w:pBdr>
          <w:top w:val="nil"/>
          <w:left w:val="nil"/>
          <w:bottom w:val="nil"/>
          <w:right w:val="nil"/>
          <w:between w:val="nil"/>
        </w:pBdr>
        <w:spacing w:line="275" w:lineRule="auto"/>
        <w:ind w:left="480"/>
        <w:jc w:val="both"/>
        <w:rPr>
          <w:rFonts w:ascii="Times New Roman" w:hAnsi="Times New Roman" w:cs="Times New Roman"/>
          <w:sz w:val="24"/>
          <w:szCs w:val="24"/>
        </w:rPr>
      </w:pPr>
    </w:p>
    <w:p w14:paraId="310C048E" w14:textId="77777777"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JADWAL PENELITIAN</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714"/>
        <w:gridCol w:w="3973"/>
        <w:gridCol w:w="814"/>
        <w:gridCol w:w="774"/>
        <w:gridCol w:w="760"/>
        <w:gridCol w:w="747"/>
        <w:gridCol w:w="681"/>
        <w:gridCol w:w="881"/>
      </w:tblGrid>
      <w:tr w:rsidR="00F355FB" w:rsidRPr="00624E9D" w14:paraId="04C95B0E"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1421AFB"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No.</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011EAD3"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Nama Kegiatan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A6A59BF"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Mar</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D01DDF7"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Apr</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BACFD96"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Mei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6892773"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Jun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6BB5D50"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Jul</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F7AD8A"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Agus</w:t>
            </w:r>
          </w:p>
        </w:tc>
      </w:tr>
      <w:tr w:rsidR="00F355FB" w:rsidRPr="00624E9D" w14:paraId="12523081"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BB6EC59"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395D803"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Persiapan dan perencanaan kegiatan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68CE872"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6BE32E7"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9B3D1C8"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283EE41"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57EC30"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A0CA63C"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r>
      <w:tr w:rsidR="00F355FB" w:rsidRPr="00624E9D" w14:paraId="4F7CCE82"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61B7D22"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79C6B01"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Penyusunan proposal riset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6C1BD55"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1895A05"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D4F3A1E"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3759BF7"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1ED315E"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38BA66E"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r>
      <w:tr w:rsidR="00F355FB" w:rsidRPr="00624E9D" w14:paraId="01F6C35B"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20B3782"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3.</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35D2762"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Pengumpulan materi dan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7BC9413"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897397"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C241228"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ED93D65"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F151801"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746CB6C"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r>
      <w:tr w:rsidR="00F355FB" w:rsidRPr="00624E9D" w14:paraId="4E5A2B93"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2B13AB8"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4.</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4269BAF"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Pengolahan dan analisis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82F5647"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B0DA322"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53811D1"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31036D3"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140376"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AD5924B"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r>
      <w:tr w:rsidR="00F355FB" w:rsidRPr="00624E9D" w14:paraId="2D801F22"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446888E"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5.</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0F1ADD7"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Penyusunan laporan penelitian dan draft artikel untuk submit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2A6ED7E"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8F1D331"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03FBF2A"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8958939"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BBE16D1"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X</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67E11DE"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r>
      <w:tr w:rsidR="00F355FB" w:rsidRPr="00624E9D" w14:paraId="5E042FAC"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73718A5"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6.</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7B93BC0"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Publikasi, pembuatan HKI dan penyerahan laporan penelian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835E500"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69F304D"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40CEB1D"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EA49C2B"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C07CEEC"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29A2181"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X</w:t>
            </w:r>
          </w:p>
        </w:tc>
      </w:tr>
    </w:tbl>
    <w:p w14:paraId="245F9190" w14:textId="77777777" w:rsidR="00F355FB" w:rsidRPr="00624E9D" w:rsidRDefault="00F355FB"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
    <w:p w14:paraId="50ED560E" w14:textId="77777777" w:rsidR="00BE219F" w:rsidRPr="00624E9D" w:rsidRDefault="00BE219F"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
    <w:p w14:paraId="1446E6F0" w14:textId="77777777" w:rsidR="00BE219F" w:rsidRPr="00624E9D" w:rsidRDefault="00BE219F"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
    <w:p w14:paraId="12468668" w14:textId="77777777" w:rsidR="00BE219F" w:rsidRPr="00624E9D" w:rsidRDefault="00BE219F" w:rsidP="00F355FB">
      <w:pPr>
        <w:pBdr>
          <w:top w:val="nil"/>
          <w:left w:val="nil"/>
          <w:bottom w:val="nil"/>
          <w:right w:val="nil"/>
          <w:between w:val="nil"/>
        </w:pBdr>
        <w:spacing w:line="275" w:lineRule="auto"/>
        <w:jc w:val="both"/>
        <w:rPr>
          <w:rFonts w:ascii="Times New Roman" w:eastAsia="Google Sans" w:hAnsi="Times New Roman" w:cs="Times New Roman"/>
          <w:color w:val="1F1F1F"/>
          <w:sz w:val="24"/>
          <w:szCs w:val="24"/>
        </w:rPr>
      </w:pPr>
    </w:p>
    <w:p w14:paraId="4BD830A1" w14:textId="5A8B12DD"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 xml:space="preserve">LUARAN DAN TARGET </w:t>
      </w:r>
      <w:r w:rsidRPr="00624E9D">
        <w:rPr>
          <w:rFonts w:ascii="Times New Roman" w:eastAsia="Google Sans" w:hAnsi="Times New Roman" w:cs="Times New Roman"/>
          <w:b/>
          <w:bCs/>
          <w:color w:val="1F1F1F"/>
          <w:sz w:val="24"/>
          <w:szCs w:val="24"/>
        </w:rPr>
        <w:t>CAPAIAN</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714"/>
        <w:gridCol w:w="4793"/>
        <w:gridCol w:w="1980"/>
      </w:tblGrid>
      <w:tr w:rsidR="00F355FB" w:rsidRPr="00624E9D" w14:paraId="2970FA28"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AD0C5E4"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No.</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449FEF"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Jenis Luaran / Kategori Luaran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1B86113"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Target Capaian</w:t>
            </w:r>
          </w:p>
        </w:tc>
      </w:tr>
      <w:tr w:rsidR="00F355FB" w:rsidRPr="00624E9D" w14:paraId="26126B1B"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E39ABB7"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7D8DDB"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Publikasi Nasional Sinta 3 / 4 (Artikel Ilmiah)</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CB7E67F"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Published</w:t>
            </w:r>
          </w:p>
        </w:tc>
      </w:tr>
      <w:tr w:rsidR="00F355FB" w:rsidRPr="00624E9D" w14:paraId="5DD8A0D0"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BA3C3E6"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2.</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49F2745"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HKI Ringkasan Model Penelitian (HKI)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8B25E4E"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Bersertifikat</w:t>
            </w:r>
          </w:p>
        </w:tc>
      </w:tr>
    </w:tbl>
    <w:p w14:paraId="58BCB9E5" w14:textId="77777777" w:rsidR="00F355FB" w:rsidRPr="00624E9D" w:rsidRDefault="00F355FB"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p>
    <w:p w14:paraId="514BA648" w14:textId="1878435B"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RENCANA ANGGARAN BIAYA</w:t>
      </w:r>
    </w:p>
    <w:p w14:paraId="0C12961F" w14:textId="77777777" w:rsidR="00F355FB" w:rsidRPr="00624E9D" w:rsidRDefault="00F355FB"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Total RAB: Rp 10.000.000</w:t>
      </w:r>
    </w:p>
    <w:tbl>
      <w:tblP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600" w:firstRow="0" w:lastRow="0" w:firstColumn="0" w:lastColumn="0" w:noHBand="1" w:noVBand="1"/>
      </w:tblPr>
      <w:tblGrid>
        <w:gridCol w:w="1684"/>
        <w:gridCol w:w="1712"/>
        <w:gridCol w:w="1995"/>
        <w:gridCol w:w="1299"/>
        <w:gridCol w:w="1304"/>
        <w:gridCol w:w="1350"/>
      </w:tblGrid>
      <w:tr w:rsidR="00F355FB" w:rsidRPr="00624E9D" w14:paraId="0A071732"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15D9E3"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Jenis Pembelajaan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1549CE7"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Komponen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6140FAD"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Item</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AAA3DD0"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Kuantitas</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11FF7F"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Biaya Satuan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D83880D"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Total</w:t>
            </w:r>
          </w:p>
        </w:tc>
      </w:tr>
      <w:tr w:rsidR="00F355FB" w:rsidRPr="00624E9D" w14:paraId="4DBF235C"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D117CAE"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Belanja Bahan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2E8FCCC"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ATK</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F36F2EE"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Kertas, alat tulis, tinta, printer, copy dll</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A125F9D"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 Paket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DEAEAFE"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600.000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845EDC3"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600.000</w:t>
            </w:r>
          </w:p>
        </w:tc>
      </w:tr>
      <w:tr w:rsidR="00F355FB" w:rsidRPr="00624E9D" w14:paraId="624D7A37"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8BC723D"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Belanja Bahan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07764A1"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Bahan penelitian (habis pakai)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F5C3F7D"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Buku, artikel referensi, Lisensi SmartPLS</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FC97CB"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 Paket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582A7A"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1.500.000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2625B19"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1.500.000</w:t>
            </w:r>
          </w:p>
        </w:tc>
      </w:tr>
      <w:tr w:rsidR="00F355FB" w:rsidRPr="00624E9D" w14:paraId="4E5F5D27"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156694B"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Pengumpulan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B124FDD"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Honor pembantu peneliti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8EC787"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Mahasiswa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8892B6E"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2 Orang</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1540D4C"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400.000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08F23DB"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800.000</w:t>
            </w:r>
          </w:p>
        </w:tc>
      </w:tr>
      <w:tr w:rsidR="00F355FB" w:rsidRPr="00624E9D" w14:paraId="39D7713B"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B857DC8"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Pengumpulan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B37289E"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FGD</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E1DE966"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Validasi / Observasi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C8FCA24"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 Paket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34AA9FB"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1.500.000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267F966"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1.500.000</w:t>
            </w:r>
          </w:p>
        </w:tc>
      </w:tr>
      <w:tr w:rsidR="00F355FB" w:rsidRPr="00624E9D" w14:paraId="7466C1DE"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91FC099"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Pengumpulan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22C7117"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Transport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DFB7272"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Pengumpulan Data / Observasi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2625941"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 Paket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206E449"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1.200.000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4D709DE9"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1.200.000</w:t>
            </w:r>
          </w:p>
        </w:tc>
      </w:tr>
      <w:tr w:rsidR="00F355FB" w:rsidRPr="00624E9D" w14:paraId="0FB0DC7B"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52853C4"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Pengumpulan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7225242"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Konsumsi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ABA6F77"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Observasi / Rapat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D52F8A0"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 Paket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3190E81"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1.000.000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34E58C9"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1.000.000</w:t>
            </w:r>
          </w:p>
        </w:tc>
      </w:tr>
      <w:tr w:rsidR="00F355FB" w:rsidRPr="00624E9D" w14:paraId="27201872"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F071CC6"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Analisis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EE7935A"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Honor pengolah data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0C98BF"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Peneliti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F4CA1F1"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2 Orang</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9ED6A1F"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600.000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40D23B8"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1.200.000</w:t>
            </w:r>
          </w:p>
        </w:tc>
      </w:tr>
      <w:tr w:rsidR="00F355FB" w:rsidRPr="00624E9D" w14:paraId="5DE6C95F"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155695A6"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Pelaporan penelitian</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5B7B8AD"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Honor administrasi peneliti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6434A79A"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Pembuatan Laporan Progress dan Akhir</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30EA838"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2 Paket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4584E0C"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400.000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AB71D2A"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800.000</w:t>
            </w:r>
          </w:p>
        </w:tc>
      </w:tr>
      <w:tr w:rsidR="00F355FB" w:rsidRPr="00624E9D" w14:paraId="0DB67B5D"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9C817C0"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Lainnya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C442394"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Biaya Translate Paper</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D159DF0"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Honor Translate</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158CA5E"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 Artikel</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6584B3F"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1.000.000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44B7438"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1.000.000</w:t>
            </w:r>
          </w:p>
        </w:tc>
      </w:tr>
      <w:tr w:rsidR="00F355FB" w:rsidRPr="00624E9D" w14:paraId="605A7294" w14:textId="77777777" w:rsidTr="004B704F">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CA74B5E"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Lainnya</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90331E9"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Biaya pendaftaran HKI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A9E8C89"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Registrasi HKI</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F825C41"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1 Sertifikat</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371A0673"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400.000</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C7645A3"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color w:val="1F1F1F"/>
                <w:sz w:val="24"/>
                <w:szCs w:val="24"/>
              </w:rPr>
            </w:pPr>
            <w:r w:rsidRPr="00624E9D">
              <w:rPr>
                <w:rFonts w:ascii="Times New Roman" w:eastAsia="Google Sans" w:hAnsi="Times New Roman" w:cs="Times New Roman"/>
                <w:color w:val="1F1F1F"/>
                <w:sz w:val="24"/>
                <w:szCs w:val="24"/>
              </w:rPr>
              <w:t>400.000</w:t>
            </w:r>
          </w:p>
        </w:tc>
      </w:tr>
      <w:tr w:rsidR="00F355FB" w:rsidRPr="00624E9D" w14:paraId="2E47977D" w14:textId="77777777" w:rsidTr="00BE219F">
        <w:trPr>
          <w:trHeight w:val="17"/>
        </w:trPr>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8EA750E"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lastRenderedPageBreak/>
              <w:t>TOTAL</w:t>
            </w: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5995309"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0613358C"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29F9F4F5"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75371E36"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p>
        </w:tc>
        <w:tc>
          <w:tcPr>
            <w:tcW w:w="0" w:type="auto"/>
            <w:tcBorders>
              <w:top w:val="single" w:sz="6" w:space="0" w:color="000000"/>
              <w:left w:val="single" w:sz="6" w:space="0" w:color="000000"/>
              <w:bottom w:val="single" w:sz="6" w:space="0" w:color="000000"/>
              <w:right w:val="single" w:sz="6" w:space="0" w:color="000000"/>
            </w:tcBorders>
            <w:tcMar>
              <w:top w:w="120" w:type="dxa"/>
              <w:left w:w="180" w:type="dxa"/>
              <w:bottom w:w="120" w:type="dxa"/>
              <w:right w:w="180" w:type="dxa"/>
            </w:tcMar>
          </w:tcPr>
          <w:p w14:paraId="5E8EFB32" w14:textId="77777777" w:rsidR="00F355FB" w:rsidRPr="00624E9D" w:rsidRDefault="00F355FB" w:rsidP="004B704F">
            <w:pPr>
              <w:pBdr>
                <w:top w:val="nil"/>
                <w:left w:val="nil"/>
                <w:bottom w:val="nil"/>
                <w:right w:val="nil"/>
                <w:between w:val="nil"/>
              </w:pBdr>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10.000.000</w:t>
            </w:r>
          </w:p>
        </w:tc>
      </w:tr>
    </w:tbl>
    <w:p w14:paraId="5B2A97E8" w14:textId="77777777" w:rsidR="00F355FB" w:rsidRPr="00624E9D" w:rsidRDefault="00F355FB"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p>
    <w:p w14:paraId="0939872C" w14:textId="77777777" w:rsidR="004B704F" w:rsidRPr="00624E9D" w:rsidRDefault="004B704F"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p>
    <w:p w14:paraId="53BB3137" w14:textId="32AF46BD" w:rsidR="003E2468" w:rsidRPr="00624E9D" w:rsidRDefault="00624E9D" w:rsidP="00F355FB">
      <w:pPr>
        <w:pBdr>
          <w:top w:val="nil"/>
          <w:left w:val="nil"/>
          <w:bottom w:val="nil"/>
          <w:right w:val="nil"/>
          <w:between w:val="nil"/>
        </w:pBdr>
        <w:spacing w:line="275" w:lineRule="auto"/>
        <w:jc w:val="both"/>
        <w:rPr>
          <w:rFonts w:ascii="Times New Roman" w:eastAsia="Google Sans" w:hAnsi="Times New Roman" w:cs="Times New Roman"/>
          <w:b/>
          <w:bCs/>
          <w:color w:val="1F1F1F"/>
          <w:sz w:val="24"/>
          <w:szCs w:val="24"/>
        </w:rPr>
      </w:pPr>
      <w:r w:rsidRPr="00624E9D">
        <w:rPr>
          <w:rFonts w:ascii="Times New Roman" w:eastAsia="Google Sans" w:hAnsi="Times New Roman" w:cs="Times New Roman"/>
          <w:b/>
          <w:bCs/>
          <w:color w:val="1F1F1F"/>
          <w:sz w:val="24"/>
          <w:szCs w:val="24"/>
        </w:rPr>
        <w:t>DAFTAR PUSTAKA</w:t>
      </w:r>
    </w:p>
    <w:p w14:paraId="4F5BFFF1" w14:textId="77777777" w:rsidR="003E2468" w:rsidRPr="00624E9D" w:rsidRDefault="00624E9D" w:rsidP="00F355FB">
      <w:pPr>
        <w:numPr>
          <w:ilvl w:val="0"/>
          <w:numId w:val="4"/>
        </w:numPr>
        <w:pBdr>
          <w:top w:val="nil"/>
          <w:left w:val="nil"/>
          <w:bottom w:val="nil"/>
          <w:right w:val="nil"/>
          <w:between w:val="nil"/>
        </w:pBdr>
        <w:spacing w:line="275" w:lineRule="auto"/>
        <w:jc w:val="both"/>
        <w:rPr>
          <w:rFonts w:ascii="Times New Roman" w:hAnsi="Times New Roman" w:cs="Times New Roman"/>
          <w:sz w:val="24"/>
          <w:szCs w:val="24"/>
        </w:rPr>
      </w:pPr>
      <w:r w:rsidRPr="00624E9D">
        <w:rPr>
          <w:rFonts w:ascii="Times New Roman" w:eastAsia="Google Sans" w:hAnsi="Times New Roman" w:cs="Times New Roman"/>
          <w:color w:val="1F1F1F"/>
          <w:sz w:val="24"/>
          <w:szCs w:val="24"/>
        </w:rPr>
        <w:t xml:space="preserve">Mochkabadi K, Volkmann CK. Equity crowdfunding: a systematic review of the literature. </w:t>
      </w:r>
      <w:r w:rsidRPr="00624E9D">
        <w:rPr>
          <w:rFonts w:ascii="Times New Roman" w:eastAsia="Google Sans" w:hAnsi="Times New Roman" w:cs="Times New Roman"/>
          <w:i/>
          <w:iCs/>
          <w:color w:val="1F1F1F"/>
          <w:sz w:val="24"/>
          <w:szCs w:val="24"/>
        </w:rPr>
        <w:t>Small Business</w:t>
      </w:r>
      <w:r w:rsidRPr="00624E9D">
        <w:rPr>
          <w:rFonts w:ascii="Times New Roman" w:eastAsia="Google Sans" w:hAnsi="Times New Roman" w:cs="Times New Roman"/>
          <w:i/>
          <w:iCs/>
          <w:color w:val="1F1F1F"/>
          <w:sz w:val="24"/>
          <w:szCs w:val="24"/>
        </w:rPr>
        <w:t xml:space="preserve"> Economics</w:t>
      </w:r>
      <w:r w:rsidRPr="00624E9D">
        <w:rPr>
          <w:rFonts w:ascii="Times New Roman" w:eastAsia="Google Sans" w:hAnsi="Times New Roman" w:cs="Times New Roman"/>
          <w:color w:val="1F1F1F"/>
          <w:sz w:val="24"/>
          <w:szCs w:val="24"/>
        </w:rPr>
        <w:t>. 2020;54(1):75-118.</w:t>
      </w:r>
    </w:p>
    <w:p w14:paraId="1776AF26" w14:textId="77777777" w:rsidR="003E2468" w:rsidRPr="00624E9D" w:rsidRDefault="00624E9D" w:rsidP="00F355FB">
      <w:pPr>
        <w:numPr>
          <w:ilvl w:val="0"/>
          <w:numId w:val="4"/>
        </w:numPr>
        <w:pBdr>
          <w:top w:val="nil"/>
          <w:left w:val="nil"/>
          <w:bottom w:val="nil"/>
          <w:right w:val="nil"/>
          <w:between w:val="nil"/>
        </w:pBdr>
        <w:spacing w:line="275" w:lineRule="auto"/>
        <w:jc w:val="both"/>
        <w:rPr>
          <w:rFonts w:ascii="Times New Roman" w:hAnsi="Times New Roman" w:cs="Times New Roman"/>
          <w:sz w:val="24"/>
          <w:szCs w:val="24"/>
        </w:rPr>
      </w:pPr>
      <w:r w:rsidRPr="00624E9D">
        <w:rPr>
          <w:rFonts w:ascii="Times New Roman" w:eastAsia="Google Sans" w:hAnsi="Times New Roman" w:cs="Times New Roman"/>
          <w:color w:val="1F1F1F"/>
          <w:sz w:val="24"/>
          <w:szCs w:val="24"/>
        </w:rPr>
        <w:t xml:space="preserve">Zarrouk H, El Ghak T, Bakhouche A. Exploring Economic and Technological Determinants of FinTech Startups' Success and Growth in the United Arab Emirates. </w:t>
      </w:r>
      <w:r w:rsidRPr="00624E9D">
        <w:rPr>
          <w:rFonts w:ascii="Times New Roman" w:eastAsia="Google Sans" w:hAnsi="Times New Roman" w:cs="Times New Roman"/>
          <w:i/>
          <w:iCs/>
          <w:color w:val="1F1F1F"/>
          <w:sz w:val="24"/>
          <w:szCs w:val="24"/>
        </w:rPr>
        <w:t>Journal of Open Innovation: Technology, Market, and Complexity</w:t>
      </w:r>
      <w:r w:rsidRPr="00624E9D">
        <w:rPr>
          <w:rFonts w:ascii="Times New Roman" w:eastAsia="Google Sans" w:hAnsi="Times New Roman" w:cs="Times New Roman"/>
          <w:color w:val="1F1F1F"/>
          <w:sz w:val="24"/>
          <w:szCs w:val="24"/>
        </w:rPr>
        <w:t>. 2021;7(</w:t>
      </w:r>
      <w:r w:rsidRPr="00624E9D">
        <w:rPr>
          <w:rFonts w:ascii="Times New Roman" w:eastAsia="Google Sans" w:hAnsi="Times New Roman" w:cs="Times New Roman"/>
          <w:color w:val="1F1F1F"/>
          <w:sz w:val="24"/>
          <w:szCs w:val="24"/>
        </w:rPr>
        <w:t>1):50.</w:t>
      </w:r>
    </w:p>
    <w:p w14:paraId="3F29FC2D" w14:textId="77777777" w:rsidR="003E2468" w:rsidRPr="00624E9D" w:rsidRDefault="00624E9D" w:rsidP="00F355FB">
      <w:pPr>
        <w:numPr>
          <w:ilvl w:val="0"/>
          <w:numId w:val="4"/>
        </w:numPr>
        <w:pBdr>
          <w:top w:val="nil"/>
          <w:left w:val="nil"/>
          <w:bottom w:val="nil"/>
          <w:right w:val="nil"/>
          <w:between w:val="nil"/>
        </w:pBdr>
        <w:spacing w:line="275" w:lineRule="auto"/>
        <w:jc w:val="both"/>
        <w:rPr>
          <w:rFonts w:ascii="Times New Roman" w:hAnsi="Times New Roman" w:cs="Times New Roman"/>
          <w:sz w:val="24"/>
          <w:szCs w:val="24"/>
        </w:rPr>
      </w:pPr>
      <w:r w:rsidRPr="00624E9D">
        <w:rPr>
          <w:rFonts w:ascii="Times New Roman" w:eastAsia="Google Sans" w:hAnsi="Times New Roman" w:cs="Times New Roman"/>
          <w:color w:val="1F1F1F"/>
          <w:sz w:val="24"/>
          <w:szCs w:val="24"/>
        </w:rPr>
        <w:t xml:space="preserve">Troise C, Giovando G, Jabeen F, Bresciani S. Unveiling the role of entrepreneurial teams in the equity crowdfunding journey. </w:t>
      </w:r>
      <w:r w:rsidRPr="00624E9D">
        <w:rPr>
          <w:rFonts w:ascii="Times New Roman" w:eastAsia="Google Sans" w:hAnsi="Times New Roman" w:cs="Times New Roman"/>
          <w:i/>
          <w:iCs/>
          <w:color w:val="1F1F1F"/>
          <w:sz w:val="24"/>
          <w:szCs w:val="24"/>
        </w:rPr>
        <w:t>Small Business Economics</w:t>
      </w:r>
      <w:r w:rsidRPr="00624E9D">
        <w:rPr>
          <w:rFonts w:ascii="Times New Roman" w:eastAsia="Google Sans" w:hAnsi="Times New Roman" w:cs="Times New Roman"/>
          <w:color w:val="1F1F1F"/>
          <w:sz w:val="24"/>
          <w:szCs w:val="24"/>
        </w:rPr>
        <w:t>. 2024;63(4):1517-1538.</w:t>
      </w:r>
    </w:p>
    <w:p w14:paraId="48BC2D1A" w14:textId="77777777" w:rsidR="003E2468" w:rsidRPr="00624E9D" w:rsidRDefault="00624E9D" w:rsidP="00F355FB">
      <w:pPr>
        <w:numPr>
          <w:ilvl w:val="0"/>
          <w:numId w:val="4"/>
        </w:numPr>
        <w:pBdr>
          <w:top w:val="nil"/>
          <w:left w:val="nil"/>
          <w:bottom w:val="nil"/>
          <w:right w:val="nil"/>
          <w:between w:val="nil"/>
        </w:pBdr>
        <w:spacing w:line="275" w:lineRule="auto"/>
        <w:jc w:val="both"/>
        <w:rPr>
          <w:rFonts w:ascii="Times New Roman" w:hAnsi="Times New Roman" w:cs="Times New Roman"/>
          <w:sz w:val="24"/>
          <w:szCs w:val="24"/>
        </w:rPr>
      </w:pPr>
      <w:r w:rsidRPr="00624E9D">
        <w:rPr>
          <w:rFonts w:ascii="Times New Roman" w:eastAsia="Google Sans" w:hAnsi="Times New Roman" w:cs="Times New Roman"/>
          <w:color w:val="1F1F1F"/>
          <w:sz w:val="24"/>
          <w:szCs w:val="24"/>
        </w:rPr>
        <w:t>Rossi A, Vanacker T, Vismara S. Unsuccessful Equity Crowdfunding Offerings a</w:t>
      </w:r>
      <w:r w:rsidRPr="00624E9D">
        <w:rPr>
          <w:rFonts w:ascii="Times New Roman" w:eastAsia="Google Sans" w:hAnsi="Times New Roman" w:cs="Times New Roman"/>
          <w:color w:val="1F1F1F"/>
          <w:sz w:val="24"/>
          <w:szCs w:val="24"/>
        </w:rPr>
        <w:t xml:space="preserve">nd the Persistence in Equity Fundraising of Family Business Start-Ups. </w:t>
      </w:r>
      <w:r w:rsidRPr="00624E9D">
        <w:rPr>
          <w:rFonts w:ascii="Times New Roman" w:eastAsia="Google Sans" w:hAnsi="Times New Roman" w:cs="Times New Roman"/>
          <w:i/>
          <w:iCs/>
          <w:color w:val="1F1F1F"/>
          <w:sz w:val="24"/>
          <w:szCs w:val="24"/>
        </w:rPr>
        <w:t>Entrepreneurship Theory and Practice</w:t>
      </w:r>
      <w:r w:rsidRPr="00624E9D">
        <w:rPr>
          <w:rFonts w:ascii="Times New Roman" w:eastAsia="Google Sans" w:hAnsi="Times New Roman" w:cs="Times New Roman"/>
          <w:color w:val="1F1F1F"/>
          <w:sz w:val="24"/>
          <w:szCs w:val="24"/>
        </w:rPr>
        <w:t>. 2023;47(4):1327-1355.</w:t>
      </w:r>
    </w:p>
    <w:p w14:paraId="761B27B7" w14:textId="77777777" w:rsidR="003E2468" w:rsidRPr="00624E9D" w:rsidRDefault="00624E9D" w:rsidP="00F355FB">
      <w:pPr>
        <w:numPr>
          <w:ilvl w:val="0"/>
          <w:numId w:val="4"/>
        </w:numPr>
        <w:pBdr>
          <w:top w:val="nil"/>
          <w:left w:val="nil"/>
          <w:bottom w:val="nil"/>
          <w:right w:val="nil"/>
          <w:between w:val="nil"/>
        </w:pBdr>
        <w:spacing w:line="275" w:lineRule="auto"/>
        <w:jc w:val="both"/>
        <w:rPr>
          <w:rFonts w:ascii="Times New Roman" w:hAnsi="Times New Roman" w:cs="Times New Roman"/>
          <w:sz w:val="24"/>
          <w:szCs w:val="24"/>
        </w:rPr>
      </w:pPr>
      <w:r w:rsidRPr="00624E9D">
        <w:rPr>
          <w:rFonts w:ascii="Times New Roman" w:eastAsia="Google Sans" w:hAnsi="Times New Roman" w:cs="Times New Roman"/>
          <w:color w:val="1F1F1F"/>
          <w:sz w:val="24"/>
          <w:szCs w:val="24"/>
        </w:rPr>
        <w:t xml:space="preserve">Honjo Y, Kurihara K. Target for campaign success: an empirical analysis of equity crowdfunding in Japan. </w:t>
      </w:r>
      <w:r w:rsidRPr="00624E9D">
        <w:rPr>
          <w:rFonts w:ascii="Times New Roman" w:eastAsia="Google Sans" w:hAnsi="Times New Roman" w:cs="Times New Roman"/>
          <w:i/>
          <w:iCs/>
          <w:color w:val="1F1F1F"/>
          <w:sz w:val="24"/>
          <w:szCs w:val="24"/>
        </w:rPr>
        <w:t xml:space="preserve">The Journal of </w:t>
      </w:r>
      <w:r w:rsidRPr="00624E9D">
        <w:rPr>
          <w:rFonts w:ascii="Times New Roman" w:eastAsia="Google Sans" w:hAnsi="Times New Roman" w:cs="Times New Roman"/>
          <w:i/>
          <w:iCs/>
          <w:color w:val="1F1F1F"/>
          <w:sz w:val="24"/>
          <w:szCs w:val="24"/>
        </w:rPr>
        <w:t>Technology Transfer</w:t>
      </w:r>
      <w:r w:rsidRPr="00624E9D">
        <w:rPr>
          <w:rFonts w:ascii="Times New Roman" w:eastAsia="Google Sans" w:hAnsi="Times New Roman" w:cs="Times New Roman"/>
          <w:color w:val="1F1F1F"/>
          <w:sz w:val="24"/>
          <w:szCs w:val="24"/>
        </w:rPr>
        <w:t>. 2024;49(3):926-958.</w:t>
      </w:r>
    </w:p>
    <w:p w14:paraId="0ACF9F8E" w14:textId="77777777" w:rsidR="003E2468" w:rsidRPr="00624E9D" w:rsidRDefault="00624E9D" w:rsidP="00F355FB">
      <w:pPr>
        <w:numPr>
          <w:ilvl w:val="0"/>
          <w:numId w:val="4"/>
        </w:numPr>
        <w:pBdr>
          <w:top w:val="nil"/>
          <w:left w:val="nil"/>
          <w:bottom w:val="nil"/>
          <w:right w:val="nil"/>
          <w:between w:val="nil"/>
        </w:pBdr>
        <w:spacing w:line="275" w:lineRule="auto"/>
        <w:jc w:val="both"/>
        <w:rPr>
          <w:rFonts w:ascii="Times New Roman" w:hAnsi="Times New Roman" w:cs="Times New Roman"/>
          <w:sz w:val="24"/>
          <w:szCs w:val="24"/>
        </w:rPr>
      </w:pPr>
      <w:r w:rsidRPr="00624E9D">
        <w:rPr>
          <w:rFonts w:ascii="Times New Roman" w:eastAsia="Google Sans" w:hAnsi="Times New Roman" w:cs="Times New Roman"/>
          <w:color w:val="1F1F1F"/>
          <w:sz w:val="24"/>
          <w:szCs w:val="24"/>
        </w:rPr>
        <w:t xml:space="preserve">Abizar E. Pengaruh Suku Bunga BI 7-Day Repo Rate (BI7DRR) dan Fix Spread Terhadap Partisipasi Generasi Millenial Pada Sukuk Tabungan. </w:t>
      </w:r>
      <w:r w:rsidRPr="00624E9D">
        <w:rPr>
          <w:rFonts w:ascii="Times New Roman" w:eastAsia="Google Sans" w:hAnsi="Times New Roman" w:cs="Times New Roman"/>
          <w:i/>
          <w:iCs/>
          <w:color w:val="1F1F1F"/>
          <w:sz w:val="24"/>
          <w:szCs w:val="24"/>
        </w:rPr>
        <w:t>Jurnal Intelektiva</w:t>
      </w:r>
      <w:r w:rsidRPr="00624E9D">
        <w:rPr>
          <w:rFonts w:ascii="Times New Roman" w:eastAsia="Google Sans" w:hAnsi="Times New Roman" w:cs="Times New Roman"/>
          <w:color w:val="1F1F1F"/>
          <w:sz w:val="24"/>
          <w:szCs w:val="24"/>
        </w:rPr>
        <w:t>. 2020;2(3):1-10.</w:t>
      </w:r>
    </w:p>
    <w:p w14:paraId="5A28B8AA" w14:textId="77777777" w:rsidR="003E2468" w:rsidRPr="00624E9D" w:rsidRDefault="00624E9D" w:rsidP="00F355FB">
      <w:pPr>
        <w:numPr>
          <w:ilvl w:val="0"/>
          <w:numId w:val="4"/>
        </w:numPr>
        <w:pBdr>
          <w:top w:val="nil"/>
          <w:left w:val="nil"/>
          <w:bottom w:val="nil"/>
          <w:right w:val="nil"/>
          <w:between w:val="nil"/>
        </w:pBdr>
        <w:spacing w:line="275" w:lineRule="auto"/>
        <w:jc w:val="both"/>
        <w:rPr>
          <w:rFonts w:ascii="Times New Roman" w:hAnsi="Times New Roman" w:cs="Times New Roman"/>
          <w:sz w:val="24"/>
          <w:szCs w:val="24"/>
        </w:rPr>
      </w:pPr>
      <w:r w:rsidRPr="00624E9D">
        <w:rPr>
          <w:rFonts w:ascii="Times New Roman" w:eastAsia="Google Sans" w:hAnsi="Times New Roman" w:cs="Times New Roman"/>
          <w:color w:val="1F1F1F"/>
          <w:sz w:val="24"/>
          <w:szCs w:val="24"/>
        </w:rPr>
        <w:t>Al-Syafii R, dkk. Pengaruh BI Rate dan Inflas</w:t>
      </w:r>
      <w:r w:rsidRPr="00624E9D">
        <w:rPr>
          <w:rFonts w:ascii="Times New Roman" w:eastAsia="Google Sans" w:hAnsi="Times New Roman" w:cs="Times New Roman"/>
          <w:color w:val="1F1F1F"/>
          <w:sz w:val="24"/>
          <w:szCs w:val="24"/>
        </w:rPr>
        <w:t xml:space="preserve">i Terhadap Profitabilitas Pada Perusahaan Fintech Yang Terdaftar di OJK. </w:t>
      </w:r>
      <w:r w:rsidRPr="00624E9D">
        <w:rPr>
          <w:rFonts w:ascii="Times New Roman" w:eastAsia="Google Sans" w:hAnsi="Times New Roman" w:cs="Times New Roman"/>
          <w:i/>
          <w:iCs/>
          <w:color w:val="1F1F1F"/>
          <w:sz w:val="24"/>
          <w:szCs w:val="24"/>
        </w:rPr>
        <w:t>Jurnal Masharif al-Syariah: Jurnal Ekonomi dan Perbankan Syariah</w:t>
      </w:r>
      <w:r w:rsidRPr="00624E9D">
        <w:rPr>
          <w:rFonts w:ascii="Times New Roman" w:eastAsia="Google Sans" w:hAnsi="Times New Roman" w:cs="Times New Roman"/>
          <w:color w:val="1F1F1F"/>
          <w:sz w:val="24"/>
          <w:szCs w:val="24"/>
        </w:rPr>
        <w:t>. 2024;9(4):2539-2550.</w:t>
      </w:r>
    </w:p>
    <w:p w14:paraId="674146CB" w14:textId="77777777" w:rsidR="003E2468" w:rsidRPr="00624E9D" w:rsidRDefault="00624E9D" w:rsidP="00F355FB">
      <w:pPr>
        <w:numPr>
          <w:ilvl w:val="0"/>
          <w:numId w:val="4"/>
        </w:numPr>
        <w:pBdr>
          <w:top w:val="nil"/>
          <w:left w:val="nil"/>
          <w:bottom w:val="nil"/>
          <w:right w:val="nil"/>
          <w:between w:val="nil"/>
        </w:pBdr>
        <w:spacing w:line="275" w:lineRule="auto"/>
        <w:jc w:val="both"/>
        <w:rPr>
          <w:rFonts w:ascii="Times New Roman" w:hAnsi="Times New Roman" w:cs="Times New Roman"/>
          <w:sz w:val="24"/>
          <w:szCs w:val="24"/>
        </w:rPr>
      </w:pPr>
      <w:r w:rsidRPr="00624E9D">
        <w:rPr>
          <w:rFonts w:ascii="Times New Roman" w:eastAsia="Google Sans" w:hAnsi="Times New Roman" w:cs="Times New Roman"/>
          <w:color w:val="1F1F1F"/>
          <w:sz w:val="24"/>
          <w:szCs w:val="24"/>
        </w:rPr>
        <w:t>Putri NS, dkk. Pengaruh Inflasi, Nilai Tukar, dan BI Rate terhadap Volume Pertumbuhan Emisi Suku</w:t>
      </w:r>
      <w:r w:rsidRPr="00624E9D">
        <w:rPr>
          <w:rFonts w:ascii="Times New Roman" w:eastAsia="Google Sans" w:hAnsi="Times New Roman" w:cs="Times New Roman"/>
          <w:color w:val="1F1F1F"/>
          <w:sz w:val="24"/>
          <w:szCs w:val="24"/>
        </w:rPr>
        <w:t xml:space="preserve">k Korporasi di Indonesia. </w:t>
      </w:r>
      <w:r w:rsidRPr="00624E9D">
        <w:rPr>
          <w:rFonts w:ascii="Times New Roman" w:eastAsia="Google Sans" w:hAnsi="Times New Roman" w:cs="Times New Roman"/>
          <w:i/>
          <w:iCs/>
          <w:color w:val="1F1F1F"/>
          <w:sz w:val="24"/>
          <w:szCs w:val="24"/>
        </w:rPr>
        <w:t>JAIEF: Jurnal Akuntansi dan Keuangan Islam Politeknik Negeri Bandung</w:t>
      </w:r>
      <w:r w:rsidRPr="00624E9D">
        <w:rPr>
          <w:rFonts w:ascii="Times New Roman" w:eastAsia="Google Sans" w:hAnsi="Times New Roman" w:cs="Times New Roman"/>
          <w:color w:val="1F1F1F"/>
          <w:sz w:val="24"/>
          <w:szCs w:val="24"/>
        </w:rPr>
        <w:t>. 2022;1(1):15-28.</w:t>
      </w:r>
    </w:p>
    <w:sectPr w:rsidR="003E2468" w:rsidRPr="00624E9D">
      <w:pgSz w:w="12240" w:h="15840"/>
      <w:pgMar w:top="1440" w:right="1440" w:bottom="1440"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E0B05BD-9504-4182-B58B-0D74F4DA23FF}"/>
  </w:font>
  <w:font w:name="Google Sans">
    <w:charset w:val="00"/>
    <w:family w:val="auto"/>
    <w:pitch w:val="default"/>
    <w:embedRegular r:id="rId2" w:fontKey="{26DFB866-34CE-4592-B71E-2636B5F42D17}"/>
    <w:embedBold r:id="rId3" w:fontKey="{A59C0B0A-BCB4-4455-A5B5-BB19DAB375B5}"/>
    <w:embedItalic r:id="rId4" w:fontKey="{57FE5BC0-FCE8-4B26-9711-D0846217C93C}"/>
    <w:embedBoldItalic r:id="rId5" w:fontKey="{CB5F02A9-1B23-4786-AD13-FADDF64B24F6}"/>
  </w:font>
  <w:font w:name="Calibri">
    <w:panose1 w:val="020F0502020204030204"/>
    <w:charset w:val="00"/>
    <w:family w:val="swiss"/>
    <w:pitch w:val="variable"/>
    <w:sig w:usb0="E4002EFF" w:usb1="C000247B" w:usb2="00000009" w:usb3="00000000" w:csb0="000001FF" w:csb1="00000000"/>
    <w:embedRegular r:id="rId6" w:fontKey="{C667BD57-3A9D-4057-86C9-93CE4D1BB243}"/>
  </w:font>
  <w:font w:name="Cambria">
    <w:panose1 w:val="02040503050406030204"/>
    <w:charset w:val="00"/>
    <w:family w:val="roman"/>
    <w:pitch w:val="variable"/>
    <w:sig w:usb0="E00006FF" w:usb1="420024FF" w:usb2="02000000" w:usb3="00000000" w:csb0="0000019F" w:csb1="00000000"/>
    <w:embedRegular r:id="rId7" w:fontKey="{4511FC5F-0B7B-426E-B489-A604CC9C5164}"/>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F0823"/>
    <w:multiLevelType w:val="multilevel"/>
    <w:tmpl w:val="AE3CA7E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1" w15:restartNumberingAfterBreak="0">
    <w:nsid w:val="27AD5D85"/>
    <w:multiLevelType w:val="multilevel"/>
    <w:tmpl w:val="52A886AA"/>
    <w:lvl w:ilvl="0">
      <w:start w:val="1"/>
      <w:numFmt w:val="decimal"/>
      <w:lvlText w:val="%1."/>
      <w:lvlJc w:val="left"/>
      <w:pPr>
        <w:ind w:left="480" w:hanging="360"/>
      </w:pPr>
      <w:rPr>
        <w:rFonts w:ascii="Times New Roman" w:eastAsia="Arial" w:hAnsi="Times New Roman" w:cs="Times New Roman" w:hint="default"/>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2" w15:restartNumberingAfterBreak="0">
    <w:nsid w:val="711E591F"/>
    <w:multiLevelType w:val="multilevel"/>
    <w:tmpl w:val="6D1662C2"/>
    <w:lvl w:ilvl="0">
      <w:start w:val="1"/>
      <w:numFmt w:val="decimal"/>
      <w:lvlText w:val="%1."/>
      <w:lvlJc w:val="left"/>
      <w:pPr>
        <w:ind w:left="4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abstractNum w:abstractNumId="3" w15:restartNumberingAfterBreak="0">
    <w:nsid w:val="778879F6"/>
    <w:multiLevelType w:val="multilevel"/>
    <w:tmpl w:val="64601906"/>
    <w:lvl w:ilvl="0">
      <w:start w:val="1"/>
      <w:numFmt w:val="bullet"/>
      <w:lvlText w:val="●"/>
      <w:lvlJc w:val="left"/>
      <w:pPr>
        <w:ind w:left="465"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bCs w:val="0"/>
        <w:i w:val="0"/>
        <w:iCs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bCs w:val="0"/>
        <w:i w:val="0"/>
        <w:iCs w:val="0"/>
        <w:smallCaps w:val="0"/>
        <w:strike w:val="0"/>
        <w:color w:val="000000"/>
        <w:sz w:val="22"/>
        <w:szCs w:val="22"/>
        <w:u w:val="none"/>
        <w:shd w:val="clear" w:color="auto" w:fill="auto"/>
        <w:vertAlign w:val="baseline"/>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2468"/>
    <w:rsid w:val="00073C62"/>
    <w:rsid w:val="003E2468"/>
    <w:rsid w:val="004B704F"/>
    <w:rsid w:val="00624E9D"/>
    <w:rsid w:val="007B2AD6"/>
    <w:rsid w:val="009E4360"/>
    <w:rsid w:val="00BE219F"/>
    <w:rsid w:val="00C56B72"/>
    <w:rsid w:val="00EA0F36"/>
    <w:rsid w:val="00F355F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679CD1"/>
  <w15:docId w15:val="{827283A3-E5C2-4B94-800C-865C4080D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ID" w:eastAsia="en-ID"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pBdr>
        <w:top w:val="nil"/>
        <w:left w:val="nil"/>
        <w:bottom w:val="nil"/>
        <w:right w:val="nil"/>
        <w:between w:val="nil"/>
      </w:pBdr>
      <w:spacing w:before="240" w:after="240"/>
      <w:outlineLvl w:val="0"/>
    </w:pPr>
    <w:rPr>
      <w:b/>
      <w:bCs/>
      <w:sz w:val="48"/>
      <w:szCs w:val="48"/>
    </w:rPr>
  </w:style>
  <w:style w:type="paragraph" w:styleId="Heading2">
    <w:name w:val="heading 2"/>
    <w:basedOn w:val="Normal"/>
    <w:next w:val="Normal"/>
    <w:uiPriority w:val="9"/>
    <w:semiHidden/>
    <w:unhideWhenUsed/>
    <w:qFormat/>
    <w:pPr>
      <w:pBdr>
        <w:top w:val="nil"/>
        <w:left w:val="nil"/>
        <w:bottom w:val="nil"/>
        <w:right w:val="nil"/>
        <w:between w:val="nil"/>
      </w:pBdr>
      <w:spacing w:before="225" w:after="225"/>
      <w:outlineLvl w:val="1"/>
    </w:pPr>
    <w:rPr>
      <w:b/>
      <w:bCs/>
      <w:sz w:val="36"/>
      <w:szCs w:val="36"/>
    </w:rPr>
  </w:style>
  <w:style w:type="paragraph" w:styleId="Heading3">
    <w:name w:val="heading 3"/>
    <w:basedOn w:val="Normal"/>
    <w:next w:val="Normal"/>
    <w:uiPriority w:val="9"/>
    <w:semiHidden/>
    <w:unhideWhenUsed/>
    <w:qFormat/>
    <w:pPr>
      <w:pBdr>
        <w:top w:val="nil"/>
        <w:left w:val="nil"/>
        <w:bottom w:val="nil"/>
        <w:right w:val="nil"/>
        <w:between w:val="nil"/>
      </w:pBdr>
      <w:spacing w:before="240" w:after="240"/>
      <w:outlineLvl w:val="2"/>
    </w:pPr>
    <w:rPr>
      <w:b/>
      <w:bCs/>
      <w:sz w:val="28"/>
      <w:szCs w:val="28"/>
    </w:rPr>
  </w:style>
  <w:style w:type="paragraph" w:styleId="Heading4">
    <w:name w:val="heading 4"/>
    <w:basedOn w:val="Normal"/>
    <w:next w:val="Normal"/>
    <w:uiPriority w:val="9"/>
    <w:semiHidden/>
    <w:unhideWhenUsed/>
    <w:qFormat/>
    <w:pPr>
      <w:pBdr>
        <w:top w:val="nil"/>
        <w:left w:val="nil"/>
        <w:bottom w:val="nil"/>
        <w:right w:val="nil"/>
        <w:between w:val="nil"/>
      </w:pBdr>
      <w:spacing w:before="255" w:after="255"/>
      <w:outlineLvl w:val="3"/>
    </w:pPr>
    <w:rPr>
      <w:b/>
      <w:bCs/>
      <w:sz w:val="24"/>
      <w:szCs w:val="24"/>
    </w:rPr>
  </w:style>
  <w:style w:type="paragraph" w:styleId="Heading5">
    <w:name w:val="heading 5"/>
    <w:basedOn w:val="Normal"/>
    <w:next w:val="Normal"/>
    <w:uiPriority w:val="9"/>
    <w:semiHidden/>
    <w:unhideWhenUsed/>
    <w:qFormat/>
    <w:pPr>
      <w:pBdr>
        <w:top w:val="nil"/>
        <w:left w:val="nil"/>
        <w:bottom w:val="nil"/>
        <w:right w:val="nil"/>
        <w:between w:val="nil"/>
      </w:pBdr>
      <w:spacing w:before="255" w:after="255"/>
      <w:outlineLvl w:val="4"/>
    </w:pPr>
    <w:rPr>
      <w:b/>
      <w:bCs/>
      <w:sz w:val="18"/>
      <w:szCs w:val="18"/>
    </w:rPr>
  </w:style>
  <w:style w:type="paragraph" w:styleId="Heading6">
    <w:name w:val="heading 6"/>
    <w:basedOn w:val="Normal"/>
    <w:next w:val="Normal"/>
    <w:uiPriority w:val="9"/>
    <w:semiHidden/>
    <w:unhideWhenUsed/>
    <w:qFormat/>
    <w:pPr>
      <w:pBdr>
        <w:top w:val="nil"/>
        <w:left w:val="nil"/>
        <w:bottom w:val="nil"/>
        <w:right w:val="nil"/>
        <w:between w:val="nil"/>
      </w:pBdr>
      <w:spacing w:before="360" w:after="360"/>
      <w:outlineLvl w:val="5"/>
    </w:pPr>
    <w:rPr>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13" Type="http://schemas.openxmlformats.org/officeDocument/2006/relationships/diagramQuickStyle" Target="diagrams/quickStyle2.xml"/><Relationship Id="rId3" Type="http://schemas.openxmlformats.org/officeDocument/2006/relationships/styles" Target="styles.xml"/><Relationship Id="rId7" Type="http://schemas.openxmlformats.org/officeDocument/2006/relationships/diagramLayout" Target="diagrams/layout1.xml"/><Relationship Id="rId12" Type="http://schemas.openxmlformats.org/officeDocument/2006/relationships/diagramLayout" Target="diagrams/layout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diagramData" Target="diagrams/data1.xml"/><Relationship Id="rId11" Type="http://schemas.openxmlformats.org/officeDocument/2006/relationships/diagramData" Target="diagrams/data2.xml"/><Relationship Id="rId5" Type="http://schemas.openxmlformats.org/officeDocument/2006/relationships/webSettings" Target="webSettings.xml"/><Relationship Id="rId15" Type="http://schemas.microsoft.com/office/2007/relationships/diagramDrawing" Target="diagrams/drawing2.xml"/><Relationship Id="rId10" Type="http://schemas.microsoft.com/office/2007/relationships/diagramDrawing" Target="diagrams/drawing1.xml"/><Relationship Id="rId4" Type="http://schemas.openxmlformats.org/officeDocument/2006/relationships/settings" Target="settings.xml"/><Relationship Id="rId9" Type="http://schemas.openxmlformats.org/officeDocument/2006/relationships/diagramColors" Target="diagrams/colors1.xml"/><Relationship Id="rId14" Type="http://schemas.openxmlformats.org/officeDocument/2006/relationships/diagramColors" Target="diagrams/colors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7ADBF50-AE9F-4B85-A411-95C66D0FB32E}" type="doc">
      <dgm:prSet loTypeId="urn:microsoft.com/office/officeart/2005/8/layout/vProcess5" loCatId="process" qsTypeId="urn:microsoft.com/office/officeart/2005/8/quickstyle/simple1" qsCatId="simple" csTypeId="urn:microsoft.com/office/officeart/2005/8/colors/colorful1" csCatId="colorful" phldr="1"/>
      <dgm:spPr/>
    </dgm:pt>
    <dgm:pt modelId="{F62DEFF0-B4B8-4D4C-966F-CFA2DF7A3B2B}">
      <dgm:prSet phldrT="[Text]"/>
      <dgm:spPr/>
      <dgm:t>
        <a:bodyPr/>
        <a:lstStyle/>
        <a:p>
          <a:pPr>
            <a:buNone/>
          </a:pPr>
          <a:r>
            <a:rPr lang="en-ID" b="1"/>
            <a:t>2025 (Fokus Saat Ini):</a:t>
          </a:r>
          <a:r>
            <a:rPr lang="en-ID"/>
            <a:t> Analisis determinan jumlah partisipasi pemodal dengan faktor ROI, Tenor, Nilai Pendanaan, dan moderasi makroekonomi (BI-Rate) menggunakan pendekatan PLS-SEM pada platform shafiq.id</a:t>
          </a:r>
        </a:p>
      </dgm:t>
    </dgm:pt>
    <dgm:pt modelId="{C1D7973E-D90E-454B-9C86-26A081F88B9B}" type="parTrans" cxnId="{4323AEAC-2D55-4F04-A35D-E63E05F42B35}">
      <dgm:prSet/>
      <dgm:spPr/>
      <dgm:t>
        <a:bodyPr/>
        <a:lstStyle/>
        <a:p>
          <a:endParaRPr lang="en-ID"/>
        </a:p>
      </dgm:t>
    </dgm:pt>
    <dgm:pt modelId="{0F62D130-7490-48EB-BF4A-CBED489C7C6D}" type="sibTrans" cxnId="{4323AEAC-2D55-4F04-A35D-E63E05F42B35}">
      <dgm:prSet/>
      <dgm:spPr/>
      <dgm:t>
        <a:bodyPr/>
        <a:lstStyle/>
        <a:p>
          <a:endParaRPr lang="en-ID"/>
        </a:p>
      </dgm:t>
    </dgm:pt>
    <dgm:pt modelId="{4013F1F0-613D-4B8D-BFFC-FC72D5A85599}">
      <dgm:prSet phldrT="[Text]"/>
      <dgm:spPr/>
      <dgm:t>
        <a:bodyPr/>
        <a:lstStyle/>
        <a:p>
          <a:pPr>
            <a:buClr>
              <a:srgbClr val="000000"/>
            </a:buClr>
            <a:buSzPts val="1100"/>
            <a:buFont typeface="Arial" panose="020B0604020202020204" pitchFamily="34" charset="0"/>
            <a:buChar char="●"/>
          </a:pPr>
          <a:r>
            <a:rPr lang="en-ID" b="1" u="none"/>
            <a:t>2026:</a:t>
          </a:r>
          <a:r>
            <a:rPr lang="en-ID" u="none"/>
            <a:t> Komparasi komprehensif perilaku pemodal pada seluruh platform </a:t>
          </a:r>
          <a:r>
            <a:rPr lang="en-ID" i="1" u="none"/>
            <a:t>Securities Crowdfunding</a:t>
          </a:r>
          <a:r>
            <a:rPr lang="en-ID" u="none"/>
            <a:t> Syariah dan Konvensional di Indonesia terhadap </a:t>
          </a:r>
          <a:r>
            <a:rPr lang="en-ID" i="1" u="none"/>
            <a:t>shock</a:t>
          </a:r>
          <a:r>
            <a:rPr lang="en-ID" u="none"/>
            <a:t> indikator makroekonomi.</a:t>
          </a:r>
          <a:endParaRPr lang="en-ID"/>
        </a:p>
      </dgm:t>
    </dgm:pt>
    <dgm:pt modelId="{0FAC1309-20F6-473C-A73B-1F006C4977BC}" type="parTrans" cxnId="{D38DF570-5F33-4068-9C3D-8A28234B3107}">
      <dgm:prSet/>
      <dgm:spPr/>
      <dgm:t>
        <a:bodyPr/>
        <a:lstStyle/>
        <a:p>
          <a:endParaRPr lang="en-ID"/>
        </a:p>
      </dgm:t>
    </dgm:pt>
    <dgm:pt modelId="{B55E7E75-1C30-4009-A9E3-302980226A39}" type="sibTrans" cxnId="{D38DF570-5F33-4068-9C3D-8A28234B3107}">
      <dgm:prSet/>
      <dgm:spPr/>
      <dgm:t>
        <a:bodyPr/>
        <a:lstStyle/>
        <a:p>
          <a:endParaRPr lang="en-ID"/>
        </a:p>
      </dgm:t>
    </dgm:pt>
    <dgm:pt modelId="{E2A94469-0C19-4598-9DCB-78252B458A30}">
      <dgm:prSet phldrT="[Text]"/>
      <dgm:spPr/>
      <dgm:t>
        <a:bodyPr/>
        <a:lstStyle/>
        <a:p>
          <a:pPr>
            <a:buClr>
              <a:srgbClr val="000000"/>
            </a:buClr>
            <a:buSzPts val="1100"/>
            <a:buFont typeface="Arial" panose="020B0604020202020204" pitchFamily="34" charset="0"/>
            <a:buChar char="●"/>
          </a:pPr>
          <a:r>
            <a:rPr lang="en-ID" b="1" u="none"/>
            <a:t>2027:</a:t>
          </a:r>
          <a:r>
            <a:rPr lang="en-ID" u="none"/>
            <a:t> Integrasi sentimen analisis </a:t>
          </a:r>
          <a:r>
            <a:rPr lang="en-ID" i="1" u="none"/>
            <a:t>Big Data</a:t>
          </a:r>
          <a:r>
            <a:rPr lang="en-ID" u="none"/>
            <a:t> media sosial dan tingkat inflasi terhadap probabilitas keberhasilan </a:t>
          </a:r>
          <a:r>
            <a:rPr lang="en-ID" i="1" u="none"/>
            <a:t>fundraising</a:t>
          </a:r>
          <a:r>
            <a:rPr lang="en-ID" u="none"/>
            <a:t> SCF Syariah.</a:t>
          </a:r>
          <a:endParaRPr lang="en-ID"/>
        </a:p>
      </dgm:t>
    </dgm:pt>
    <dgm:pt modelId="{989D9D12-7ECC-4C31-9F12-6E6CA13E8930}" type="parTrans" cxnId="{824856B0-A1BE-4BC2-8FB3-185804BD6BF7}">
      <dgm:prSet/>
      <dgm:spPr/>
      <dgm:t>
        <a:bodyPr/>
        <a:lstStyle/>
        <a:p>
          <a:endParaRPr lang="en-ID"/>
        </a:p>
      </dgm:t>
    </dgm:pt>
    <dgm:pt modelId="{CC04ED1E-962F-4C18-87A4-380C5A1DAE3E}" type="sibTrans" cxnId="{824856B0-A1BE-4BC2-8FB3-185804BD6BF7}">
      <dgm:prSet/>
      <dgm:spPr/>
      <dgm:t>
        <a:bodyPr/>
        <a:lstStyle/>
        <a:p>
          <a:endParaRPr lang="en-ID"/>
        </a:p>
      </dgm:t>
    </dgm:pt>
    <dgm:pt modelId="{ED5D32BE-6BA3-44AE-9A61-8B5C55C9F2BB}">
      <dgm:prSet phldrT="[Text]"/>
      <dgm:spPr/>
      <dgm:t>
        <a:bodyPr/>
        <a:lstStyle/>
        <a:p>
          <a:pPr>
            <a:buClr>
              <a:srgbClr val="000000"/>
            </a:buClr>
            <a:buSzPts val="1100"/>
            <a:buFont typeface="Arial" panose="020B0604020202020204" pitchFamily="34" charset="0"/>
            <a:buChar char="●"/>
          </a:pPr>
          <a:r>
            <a:rPr lang="en-ID" b="1" u="none"/>
            <a:t>2028:</a:t>
          </a:r>
          <a:r>
            <a:rPr lang="en-ID" u="none"/>
            <a:t> Pengembangan algoritma </a:t>
          </a:r>
          <a:r>
            <a:rPr lang="en-ID" i="1" u="none"/>
            <a:t>Machine Learning</a:t>
          </a:r>
          <a:r>
            <a:rPr lang="en-ID" u="none"/>
            <a:t> untuk memprediksi risiko gagal bayar (</a:t>
          </a:r>
          <a:r>
            <a:rPr lang="en-ID" i="1" u="none"/>
            <a:t>default</a:t>
          </a:r>
          <a:r>
            <a:rPr lang="en-ID" u="none"/>
            <a:t>) pada instrumen Sukuk UMKM di platform digital.</a:t>
          </a:r>
          <a:endParaRPr lang="en-ID"/>
        </a:p>
      </dgm:t>
    </dgm:pt>
    <dgm:pt modelId="{B85B9752-5486-4EC8-9AF3-A62F468C02B4}" type="parTrans" cxnId="{EFFEFEA7-76B5-4A9E-B0F9-D986143F1EF1}">
      <dgm:prSet/>
      <dgm:spPr/>
      <dgm:t>
        <a:bodyPr/>
        <a:lstStyle/>
        <a:p>
          <a:endParaRPr lang="en-ID"/>
        </a:p>
      </dgm:t>
    </dgm:pt>
    <dgm:pt modelId="{4FB8C82A-E27E-4165-8E37-E9DC8D80FC86}" type="sibTrans" cxnId="{EFFEFEA7-76B5-4A9E-B0F9-D986143F1EF1}">
      <dgm:prSet/>
      <dgm:spPr/>
      <dgm:t>
        <a:bodyPr/>
        <a:lstStyle/>
        <a:p>
          <a:endParaRPr lang="en-ID"/>
        </a:p>
      </dgm:t>
    </dgm:pt>
    <dgm:pt modelId="{90F6EDC1-F455-4FE7-9C9E-52E38B52CB78}">
      <dgm:prSet phldrT="[Text]"/>
      <dgm:spPr/>
      <dgm:t>
        <a:bodyPr/>
        <a:lstStyle/>
        <a:p>
          <a:pPr>
            <a:buClr>
              <a:srgbClr val="000000"/>
            </a:buClr>
            <a:buSzPts val="1100"/>
            <a:buFont typeface="Arial" panose="020B0604020202020204" pitchFamily="34" charset="0"/>
            <a:buChar char="●"/>
          </a:pPr>
          <a:r>
            <a:rPr lang="en-ID" b="1" u="none"/>
            <a:t>2029:</a:t>
          </a:r>
          <a:r>
            <a:rPr lang="en-ID" u="none"/>
            <a:t> Penyusunan draf rekomendasi kebijakan mitigasi risiko investasi digital bagi Otoritas Jasa Keuangan (OJK) dan Asosiasi Fintech Syariah Indonesia (AFSI).</a:t>
          </a:r>
          <a:endParaRPr lang="en-ID"/>
        </a:p>
      </dgm:t>
    </dgm:pt>
    <dgm:pt modelId="{F0870122-8712-4570-B426-1D06332E0915}" type="sibTrans" cxnId="{765FD7A1-003A-4184-8A3F-B9787E54C3C2}">
      <dgm:prSet/>
      <dgm:spPr/>
      <dgm:t>
        <a:bodyPr/>
        <a:lstStyle/>
        <a:p>
          <a:endParaRPr lang="en-ID"/>
        </a:p>
      </dgm:t>
    </dgm:pt>
    <dgm:pt modelId="{8C64CAD1-2D76-45D7-90AF-9F578CD19651}" type="parTrans" cxnId="{765FD7A1-003A-4184-8A3F-B9787E54C3C2}">
      <dgm:prSet/>
      <dgm:spPr/>
      <dgm:t>
        <a:bodyPr/>
        <a:lstStyle/>
        <a:p>
          <a:endParaRPr lang="en-ID"/>
        </a:p>
      </dgm:t>
    </dgm:pt>
    <dgm:pt modelId="{39CB8651-324C-498F-9235-D7BB618B4E81}" type="pres">
      <dgm:prSet presAssocID="{A7ADBF50-AE9F-4B85-A411-95C66D0FB32E}" presName="outerComposite" presStyleCnt="0">
        <dgm:presLayoutVars>
          <dgm:chMax val="5"/>
          <dgm:dir/>
          <dgm:resizeHandles val="exact"/>
        </dgm:presLayoutVars>
      </dgm:prSet>
      <dgm:spPr/>
    </dgm:pt>
    <dgm:pt modelId="{DE94C59C-3E58-4451-8C2E-FB749E773B37}" type="pres">
      <dgm:prSet presAssocID="{A7ADBF50-AE9F-4B85-A411-95C66D0FB32E}" presName="dummyMaxCanvas" presStyleCnt="0">
        <dgm:presLayoutVars/>
      </dgm:prSet>
      <dgm:spPr/>
    </dgm:pt>
    <dgm:pt modelId="{C4A9C614-2739-4E92-8A0A-D29845C0CE58}" type="pres">
      <dgm:prSet presAssocID="{A7ADBF50-AE9F-4B85-A411-95C66D0FB32E}" presName="FiveNodes_1" presStyleLbl="node1" presStyleIdx="0" presStyleCnt="5">
        <dgm:presLayoutVars>
          <dgm:bulletEnabled val="1"/>
        </dgm:presLayoutVars>
      </dgm:prSet>
      <dgm:spPr/>
      <dgm:t>
        <a:bodyPr/>
        <a:lstStyle/>
        <a:p>
          <a:endParaRPr lang="en-US"/>
        </a:p>
      </dgm:t>
    </dgm:pt>
    <dgm:pt modelId="{0B75B8C3-E512-4059-A077-46CB7F6B3FF0}" type="pres">
      <dgm:prSet presAssocID="{A7ADBF50-AE9F-4B85-A411-95C66D0FB32E}" presName="FiveNodes_2" presStyleLbl="node1" presStyleIdx="1" presStyleCnt="5">
        <dgm:presLayoutVars>
          <dgm:bulletEnabled val="1"/>
        </dgm:presLayoutVars>
      </dgm:prSet>
      <dgm:spPr/>
      <dgm:t>
        <a:bodyPr/>
        <a:lstStyle/>
        <a:p>
          <a:endParaRPr lang="en-US"/>
        </a:p>
      </dgm:t>
    </dgm:pt>
    <dgm:pt modelId="{5505D204-D185-4728-A069-B57BE09622AC}" type="pres">
      <dgm:prSet presAssocID="{A7ADBF50-AE9F-4B85-A411-95C66D0FB32E}" presName="FiveNodes_3" presStyleLbl="node1" presStyleIdx="2" presStyleCnt="5">
        <dgm:presLayoutVars>
          <dgm:bulletEnabled val="1"/>
        </dgm:presLayoutVars>
      </dgm:prSet>
      <dgm:spPr/>
      <dgm:t>
        <a:bodyPr/>
        <a:lstStyle/>
        <a:p>
          <a:endParaRPr lang="en-US"/>
        </a:p>
      </dgm:t>
    </dgm:pt>
    <dgm:pt modelId="{15B608B2-012C-4687-B812-0572742C0ED8}" type="pres">
      <dgm:prSet presAssocID="{A7ADBF50-AE9F-4B85-A411-95C66D0FB32E}" presName="FiveNodes_4" presStyleLbl="node1" presStyleIdx="3" presStyleCnt="5">
        <dgm:presLayoutVars>
          <dgm:bulletEnabled val="1"/>
        </dgm:presLayoutVars>
      </dgm:prSet>
      <dgm:spPr/>
      <dgm:t>
        <a:bodyPr/>
        <a:lstStyle/>
        <a:p>
          <a:endParaRPr lang="en-US"/>
        </a:p>
      </dgm:t>
    </dgm:pt>
    <dgm:pt modelId="{00BD2881-89EE-4C0B-8A54-DDAB189BA4AE}" type="pres">
      <dgm:prSet presAssocID="{A7ADBF50-AE9F-4B85-A411-95C66D0FB32E}" presName="FiveNodes_5" presStyleLbl="node1" presStyleIdx="4" presStyleCnt="5">
        <dgm:presLayoutVars>
          <dgm:bulletEnabled val="1"/>
        </dgm:presLayoutVars>
      </dgm:prSet>
      <dgm:spPr/>
      <dgm:t>
        <a:bodyPr/>
        <a:lstStyle/>
        <a:p>
          <a:endParaRPr lang="en-US"/>
        </a:p>
      </dgm:t>
    </dgm:pt>
    <dgm:pt modelId="{2FC3CAEB-7280-456C-98BA-3F5CAF9FFCB6}" type="pres">
      <dgm:prSet presAssocID="{A7ADBF50-AE9F-4B85-A411-95C66D0FB32E}" presName="FiveConn_1-2" presStyleLbl="fgAccFollowNode1" presStyleIdx="0" presStyleCnt="4">
        <dgm:presLayoutVars>
          <dgm:bulletEnabled val="1"/>
        </dgm:presLayoutVars>
      </dgm:prSet>
      <dgm:spPr/>
      <dgm:t>
        <a:bodyPr/>
        <a:lstStyle/>
        <a:p>
          <a:endParaRPr lang="en-US"/>
        </a:p>
      </dgm:t>
    </dgm:pt>
    <dgm:pt modelId="{F26037C3-3AFF-4CA6-AF01-E102CCFF18AF}" type="pres">
      <dgm:prSet presAssocID="{A7ADBF50-AE9F-4B85-A411-95C66D0FB32E}" presName="FiveConn_2-3" presStyleLbl="fgAccFollowNode1" presStyleIdx="1" presStyleCnt="4">
        <dgm:presLayoutVars>
          <dgm:bulletEnabled val="1"/>
        </dgm:presLayoutVars>
      </dgm:prSet>
      <dgm:spPr/>
      <dgm:t>
        <a:bodyPr/>
        <a:lstStyle/>
        <a:p>
          <a:endParaRPr lang="en-US"/>
        </a:p>
      </dgm:t>
    </dgm:pt>
    <dgm:pt modelId="{292A9C3F-B64B-4CBF-9F88-9954C9373414}" type="pres">
      <dgm:prSet presAssocID="{A7ADBF50-AE9F-4B85-A411-95C66D0FB32E}" presName="FiveConn_3-4" presStyleLbl="fgAccFollowNode1" presStyleIdx="2" presStyleCnt="4">
        <dgm:presLayoutVars>
          <dgm:bulletEnabled val="1"/>
        </dgm:presLayoutVars>
      </dgm:prSet>
      <dgm:spPr/>
      <dgm:t>
        <a:bodyPr/>
        <a:lstStyle/>
        <a:p>
          <a:endParaRPr lang="en-US"/>
        </a:p>
      </dgm:t>
    </dgm:pt>
    <dgm:pt modelId="{3860562C-80DA-4D91-B43C-6A979B7CCBB8}" type="pres">
      <dgm:prSet presAssocID="{A7ADBF50-AE9F-4B85-A411-95C66D0FB32E}" presName="FiveConn_4-5" presStyleLbl="fgAccFollowNode1" presStyleIdx="3" presStyleCnt="4">
        <dgm:presLayoutVars>
          <dgm:bulletEnabled val="1"/>
        </dgm:presLayoutVars>
      </dgm:prSet>
      <dgm:spPr/>
      <dgm:t>
        <a:bodyPr/>
        <a:lstStyle/>
        <a:p>
          <a:endParaRPr lang="en-US"/>
        </a:p>
      </dgm:t>
    </dgm:pt>
    <dgm:pt modelId="{32D919FF-9C50-40CD-B173-4039B81A6B07}" type="pres">
      <dgm:prSet presAssocID="{A7ADBF50-AE9F-4B85-A411-95C66D0FB32E}" presName="FiveNodes_1_text" presStyleLbl="node1" presStyleIdx="4" presStyleCnt="5">
        <dgm:presLayoutVars>
          <dgm:bulletEnabled val="1"/>
        </dgm:presLayoutVars>
      </dgm:prSet>
      <dgm:spPr/>
      <dgm:t>
        <a:bodyPr/>
        <a:lstStyle/>
        <a:p>
          <a:endParaRPr lang="en-US"/>
        </a:p>
      </dgm:t>
    </dgm:pt>
    <dgm:pt modelId="{3E537CAF-B04E-42BF-A83A-9B754183646C}" type="pres">
      <dgm:prSet presAssocID="{A7ADBF50-AE9F-4B85-A411-95C66D0FB32E}" presName="FiveNodes_2_text" presStyleLbl="node1" presStyleIdx="4" presStyleCnt="5">
        <dgm:presLayoutVars>
          <dgm:bulletEnabled val="1"/>
        </dgm:presLayoutVars>
      </dgm:prSet>
      <dgm:spPr/>
      <dgm:t>
        <a:bodyPr/>
        <a:lstStyle/>
        <a:p>
          <a:endParaRPr lang="en-US"/>
        </a:p>
      </dgm:t>
    </dgm:pt>
    <dgm:pt modelId="{F3B68A0B-146C-4263-8D5A-470B2EA967FA}" type="pres">
      <dgm:prSet presAssocID="{A7ADBF50-AE9F-4B85-A411-95C66D0FB32E}" presName="FiveNodes_3_text" presStyleLbl="node1" presStyleIdx="4" presStyleCnt="5">
        <dgm:presLayoutVars>
          <dgm:bulletEnabled val="1"/>
        </dgm:presLayoutVars>
      </dgm:prSet>
      <dgm:spPr/>
      <dgm:t>
        <a:bodyPr/>
        <a:lstStyle/>
        <a:p>
          <a:endParaRPr lang="en-US"/>
        </a:p>
      </dgm:t>
    </dgm:pt>
    <dgm:pt modelId="{F4DAB366-88FF-4DA1-89B4-045BB8C741F0}" type="pres">
      <dgm:prSet presAssocID="{A7ADBF50-AE9F-4B85-A411-95C66D0FB32E}" presName="FiveNodes_4_text" presStyleLbl="node1" presStyleIdx="4" presStyleCnt="5">
        <dgm:presLayoutVars>
          <dgm:bulletEnabled val="1"/>
        </dgm:presLayoutVars>
      </dgm:prSet>
      <dgm:spPr/>
      <dgm:t>
        <a:bodyPr/>
        <a:lstStyle/>
        <a:p>
          <a:endParaRPr lang="en-US"/>
        </a:p>
      </dgm:t>
    </dgm:pt>
    <dgm:pt modelId="{702EE352-1417-4BBE-BFAD-C5074264735D}" type="pres">
      <dgm:prSet presAssocID="{A7ADBF50-AE9F-4B85-A411-95C66D0FB32E}" presName="FiveNodes_5_text" presStyleLbl="node1" presStyleIdx="4" presStyleCnt="5">
        <dgm:presLayoutVars>
          <dgm:bulletEnabled val="1"/>
        </dgm:presLayoutVars>
      </dgm:prSet>
      <dgm:spPr/>
      <dgm:t>
        <a:bodyPr/>
        <a:lstStyle/>
        <a:p>
          <a:endParaRPr lang="en-US"/>
        </a:p>
      </dgm:t>
    </dgm:pt>
  </dgm:ptLst>
  <dgm:cxnLst>
    <dgm:cxn modelId="{4323AEAC-2D55-4F04-A35D-E63E05F42B35}" srcId="{A7ADBF50-AE9F-4B85-A411-95C66D0FB32E}" destId="{F62DEFF0-B4B8-4D4C-966F-CFA2DF7A3B2B}" srcOrd="0" destOrd="0" parTransId="{C1D7973E-D90E-454B-9C86-26A081F88B9B}" sibTransId="{0F62D130-7490-48EB-BF4A-CBED489C7C6D}"/>
    <dgm:cxn modelId="{74F2026C-D6F0-4750-B4B9-E6CDADB92217}" type="presOf" srcId="{CC04ED1E-962F-4C18-87A4-380C5A1DAE3E}" destId="{292A9C3F-B64B-4CBF-9F88-9954C9373414}" srcOrd="0" destOrd="0" presId="urn:microsoft.com/office/officeart/2005/8/layout/vProcess5"/>
    <dgm:cxn modelId="{AB0975FF-EA93-4241-8F78-3B94D2B8ACC2}" type="presOf" srcId="{4013F1F0-613D-4B8D-BFFC-FC72D5A85599}" destId="{0B75B8C3-E512-4059-A077-46CB7F6B3FF0}" srcOrd="0" destOrd="0" presId="urn:microsoft.com/office/officeart/2005/8/layout/vProcess5"/>
    <dgm:cxn modelId="{2505F6DC-781A-4603-B6A1-5DE90169DB35}" type="presOf" srcId="{4013F1F0-613D-4B8D-BFFC-FC72D5A85599}" destId="{3E537CAF-B04E-42BF-A83A-9B754183646C}" srcOrd="1" destOrd="0" presId="urn:microsoft.com/office/officeart/2005/8/layout/vProcess5"/>
    <dgm:cxn modelId="{D38DF570-5F33-4068-9C3D-8A28234B3107}" srcId="{A7ADBF50-AE9F-4B85-A411-95C66D0FB32E}" destId="{4013F1F0-613D-4B8D-BFFC-FC72D5A85599}" srcOrd="1" destOrd="0" parTransId="{0FAC1309-20F6-473C-A73B-1F006C4977BC}" sibTransId="{B55E7E75-1C30-4009-A9E3-302980226A39}"/>
    <dgm:cxn modelId="{885F0D11-B244-45D5-9457-E090EC8D7AF0}" type="presOf" srcId="{ED5D32BE-6BA3-44AE-9A61-8B5C55C9F2BB}" destId="{F4DAB366-88FF-4DA1-89B4-045BB8C741F0}" srcOrd="1" destOrd="0" presId="urn:microsoft.com/office/officeart/2005/8/layout/vProcess5"/>
    <dgm:cxn modelId="{6727EF99-3341-4E9B-84D3-85845CCC5488}" type="presOf" srcId="{4FB8C82A-E27E-4165-8E37-E9DC8D80FC86}" destId="{3860562C-80DA-4D91-B43C-6A979B7CCBB8}" srcOrd="0" destOrd="0" presId="urn:microsoft.com/office/officeart/2005/8/layout/vProcess5"/>
    <dgm:cxn modelId="{71175283-4493-4379-9238-2C617B31FA39}" type="presOf" srcId="{E2A94469-0C19-4598-9DCB-78252B458A30}" destId="{5505D204-D185-4728-A069-B57BE09622AC}" srcOrd="0" destOrd="0" presId="urn:microsoft.com/office/officeart/2005/8/layout/vProcess5"/>
    <dgm:cxn modelId="{22C7C27A-E1F2-4D7E-B26F-42DCC6BAAE2E}" type="presOf" srcId="{90F6EDC1-F455-4FE7-9C9E-52E38B52CB78}" destId="{00BD2881-89EE-4C0B-8A54-DDAB189BA4AE}" srcOrd="0" destOrd="0" presId="urn:microsoft.com/office/officeart/2005/8/layout/vProcess5"/>
    <dgm:cxn modelId="{EFFEFEA7-76B5-4A9E-B0F9-D986143F1EF1}" srcId="{A7ADBF50-AE9F-4B85-A411-95C66D0FB32E}" destId="{ED5D32BE-6BA3-44AE-9A61-8B5C55C9F2BB}" srcOrd="3" destOrd="0" parTransId="{B85B9752-5486-4EC8-9AF3-A62F468C02B4}" sibTransId="{4FB8C82A-E27E-4165-8E37-E9DC8D80FC86}"/>
    <dgm:cxn modelId="{6B398A93-FD49-4B57-937F-599BC8AAD089}" type="presOf" srcId="{ED5D32BE-6BA3-44AE-9A61-8B5C55C9F2BB}" destId="{15B608B2-012C-4687-B812-0572742C0ED8}" srcOrd="0" destOrd="0" presId="urn:microsoft.com/office/officeart/2005/8/layout/vProcess5"/>
    <dgm:cxn modelId="{6DA1F164-9E7C-4368-92D7-F03E65E6404C}" type="presOf" srcId="{90F6EDC1-F455-4FE7-9C9E-52E38B52CB78}" destId="{702EE352-1417-4BBE-BFAD-C5074264735D}" srcOrd="1" destOrd="0" presId="urn:microsoft.com/office/officeart/2005/8/layout/vProcess5"/>
    <dgm:cxn modelId="{164A34EA-F3AB-420F-AD44-4E1C9404C4A1}" type="presOf" srcId="{A7ADBF50-AE9F-4B85-A411-95C66D0FB32E}" destId="{39CB8651-324C-498F-9235-D7BB618B4E81}" srcOrd="0" destOrd="0" presId="urn:microsoft.com/office/officeart/2005/8/layout/vProcess5"/>
    <dgm:cxn modelId="{FF483422-A956-4E1E-AC54-E272FBF92E7E}" type="presOf" srcId="{E2A94469-0C19-4598-9DCB-78252B458A30}" destId="{F3B68A0B-146C-4263-8D5A-470B2EA967FA}" srcOrd="1" destOrd="0" presId="urn:microsoft.com/office/officeart/2005/8/layout/vProcess5"/>
    <dgm:cxn modelId="{B4CEB367-C183-440B-A66F-6F4173127A72}" type="presOf" srcId="{F62DEFF0-B4B8-4D4C-966F-CFA2DF7A3B2B}" destId="{32D919FF-9C50-40CD-B173-4039B81A6B07}" srcOrd="1" destOrd="0" presId="urn:microsoft.com/office/officeart/2005/8/layout/vProcess5"/>
    <dgm:cxn modelId="{1BA03189-08EE-4830-99D2-9B09D02FC242}" type="presOf" srcId="{0F62D130-7490-48EB-BF4A-CBED489C7C6D}" destId="{2FC3CAEB-7280-456C-98BA-3F5CAF9FFCB6}" srcOrd="0" destOrd="0" presId="urn:microsoft.com/office/officeart/2005/8/layout/vProcess5"/>
    <dgm:cxn modelId="{824856B0-A1BE-4BC2-8FB3-185804BD6BF7}" srcId="{A7ADBF50-AE9F-4B85-A411-95C66D0FB32E}" destId="{E2A94469-0C19-4598-9DCB-78252B458A30}" srcOrd="2" destOrd="0" parTransId="{989D9D12-7ECC-4C31-9F12-6E6CA13E8930}" sibTransId="{CC04ED1E-962F-4C18-87A4-380C5A1DAE3E}"/>
    <dgm:cxn modelId="{765FD7A1-003A-4184-8A3F-B9787E54C3C2}" srcId="{A7ADBF50-AE9F-4B85-A411-95C66D0FB32E}" destId="{90F6EDC1-F455-4FE7-9C9E-52E38B52CB78}" srcOrd="4" destOrd="0" parTransId="{8C64CAD1-2D76-45D7-90AF-9F578CD19651}" sibTransId="{F0870122-8712-4570-B426-1D06332E0915}"/>
    <dgm:cxn modelId="{5DD9E4EF-7080-4636-909A-23DE5EE98206}" type="presOf" srcId="{B55E7E75-1C30-4009-A9E3-302980226A39}" destId="{F26037C3-3AFF-4CA6-AF01-E102CCFF18AF}" srcOrd="0" destOrd="0" presId="urn:microsoft.com/office/officeart/2005/8/layout/vProcess5"/>
    <dgm:cxn modelId="{70F498B5-E5AC-4CF4-ADFA-F942C37B8DC7}" type="presOf" srcId="{F62DEFF0-B4B8-4D4C-966F-CFA2DF7A3B2B}" destId="{C4A9C614-2739-4E92-8A0A-D29845C0CE58}" srcOrd="0" destOrd="0" presId="urn:microsoft.com/office/officeart/2005/8/layout/vProcess5"/>
    <dgm:cxn modelId="{204DA838-4C2B-4818-A963-83E98D2035C8}" type="presParOf" srcId="{39CB8651-324C-498F-9235-D7BB618B4E81}" destId="{DE94C59C-3E58-4451-8C2E-FB749E773B37}" srcOrd="0" destOrd="0" presId="urn:microsoft.com/office/officeart/2005/8/layout/vProcess5"/>
    <dgm:cxn modelId="{5138E794-C49C-4A12-8150-0FCAF736CB65}" type="presParOf" srcId="{39CB8651-324C-498F-9235-D7BB618B4E81}" destId="{C4A9C614-2739-4E92-8A0A-D29845C0CE58}" srcOrd="1" destOrd="0" presId="urn:microsoft.com/office/officeart/2005/8/layout/vProcess5"/>
    <dgm:cxn modelId="{38AEAC7A-69C3-410A-A29E-AF35751C6838}" type="presParOf" srcId="{39CB8651-324C-498F-9235-D7BB618B4E81}" destId="{0B75B8C3-E512-4059-A077-46CB7F6B3FF0}" srcOrd="2" destOrd="0" presId="urn:microsoft.com/office/officeart/2005/8/layout/vProcess5"/>
    <dgm:cxn modelId="{B7513E24-B591-4D00-9C3B-03669A4FF0A5}" type="presParOf" srcId="{39CB8651-324C-498F-9235-D7BB618B4E81}" destId="{5505D204-D185-4728-A069-B57BE09622AC}" srcOrd="3" destOrd="0" presId="urn:microsoft.com/office/officeart/2005/8/layout/vProcess5"/>
    <dgm:cxn modelId="{22B60636-2301-4FB1-8F32-FBF610633EB9}" type="presParOf" srcId="{39CB8651-324C-498F-9235-D7BB618B4E81}" destId="{15B608B2-012C-4687-B812-0572742C0ED8}" srcOrd="4" destOrd="0" presId="urn:microsoft.com/office/officeart/2005/8/layout/vProcess5"/>
    <dgm:cxn modelId="{335288DD-FD08-4D4E-AC21-C1A95AA446CE}" type="presParOf" srcId="{39CB8651-324C-498F-9235-D7BB618B4E81}" destId="{00BD2881-89EE-4C0B-8A54-DDAB189BA4AE}" srcOrd="5" destOrd="0" presId="urn:microsoft.com/office/officeart/2005/8/layout/vProcess5"/>
    <dgm:cxn modelId="{44BDB7F9-2121-4F47-9652-EB80AAA3E962}" type="presParOf" srcId="{39CB8651-324C-498F-9235-D7BB618B4E81}" destId="{2FC3CAEB-7280-456C-98BA-3F5CAF9FFCB6}" srcOrd="6" destOrd="0" presId="urn:microsoft.com/office/officeart/2005/8/layout/vProcess5"/>
    <dgm:cxn modelId="{72D1AC4F-4A46-4B8A-A27C-0C57CA67E6DC}" type="presParOf" srcId="{39CB8651-324C-498F-9235-D7BB618B4E81}" destId="{F26037C3-3AFF-4CA6-AF01-E102CCFF18AF}" srcOrd="7" destOrd="0" presId="urn:microsoft.com/office/officeart/2005/8/layout/vProcess5"/>
    <dgm:cxn modelId="{1A8FF52F-3910-49A0-8CEC-346277A781C8}" type="presParOf" srcId="{39CB8651-324C-498F-9235-D7BB618B4E81}" destId="{292A9C3F-B64B-4CBF-9F88-9954C9373414}" srcOrd="8" destOrd="0" presId="urn:microsoft.com/office/officeart/2005/8/layout/vProcess5"/>
    <dgm:cxn modelId="{FC9209B0-D746-4BE8-AC08-B733D7630846}" type="presParOf" srcId="{39CB8651-324C-498F-9235-D7BB618B4E81}" destId="{3860562C-80DA-4D91-B43C-6A979B7CCBB8}" srcOrd="9" destOrd="0" presId="urn:microsoft.com/office/officeart/2005/8/layout/vProcess5"/>
    <dgm:cxn modelId="{1E6F5CF0-625B-4F59-8036-1BF1359B34E5}" type="presParOf" srcId="{39CB8651-324C-498F-9235-D7BB618B4E81}" destId="{32D919FF-9C50-40CD-B173-4039B81A6B07}" srcOrd="10" destOrd="0" presId="urn:microsoft.com/office/officeart/2005/8/layout/vProcess5"/>
    <dgm:cxn modelId="{098D46F0-639C-4DE2-A639-3400F12963A4}" type="presParOf" srcId="{39CB8651-324C-498F-9235-D7BB618B4E81}" destId="{3E537CAF-B04E-42BF-A83A-9B754183646C}" srcOrd="11" destOrd="0" presId="urn:microsoft.com/office/officeart/2005/8/layout/vProcess5"/>
    <dgm:cxn modelId="{8203ED36-A895-407B-80C7-57AD7D3B5521}" type="presParOf" srcId="{39CB8651-324C-498F-9235-D7BB618B4E81}" destId="{F3B68A0B-146C-4263-8D5A-470B2EA967FA}" srcOrd="12" destOrd="0" presId="urn:microsoft.com/office/officeart/2005/8/layout/vProcess5"/>
    <dgm:cxn modelId="{A60847A6-69C6-4BBE-8341-E6B6C33066A5}" type="presParOf" srcId="{39CB8651-324C-498F-9235-D7BB618B4E81}" destId="{F4DAB366-88FF-4DA1-89B4-045BB8C741F0}" srcOrd="13" destOrd="0" presId="urn:microsoft.com/office/officeart/2005/8/layout/vProcess5"/>
    <dgm:cxn modelId="{2A728A08-9920-4811-924B-38BE8A0676E8}" type="presParOf" srcId="{39CB8651-324C-498F-9235-D7BB618B4E81}" destId="{702EE352-1417-4BBE-BFAD-C5074264735D}" srcOrd="14" destOrd="0" presId="urn:microsoft.com/office/officeart/2005/8/layout/vProcess5"/>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D5D87BB-17A0-4EFF-99F1-2CD61734D78A}" type="doc">
      <dgm:prSet loTypeId="urn:microsoft.com/office/officeart/2008/layout/LinedList" loCatId="list" qsTypeId="urn:microsoft.com/office/officeart/2005/8/quickstyle/simple1" qsCatId="simple" csTypeId="urn:microsoft.com/office/officeart/2005/8/colors/accent1_2" csCatId="accent1" phldr="1"/>
      <dgm:spPr/>
      <dgm:t>
        <a:bodyPr/>
        <a:lstStyle/>
        <a:p>
          <a:endParaRPr lang="en-ID"/>
        </a:p>
      </dgm:t>
    </dgm:pt>
    <dgm:pt modelId="{E5BAA4A8-E579-4DD7-92BB-A9824594ADCF}">
      <dgm:prSet phldrT="[Text]" custT="1"/>
      <dgm:spPr/>
      <dgm:t>
        <a:bodyPr/>
        <a:lstStyle/>
        <a:p>
          <a:pPr algn="just"/>
          <a:r>
            <a:rPr lang="en-ID" sz="1200">
              <a:latin typeface="Times New Roman" panose="02020603050405020304" pitchFamily="18" charset="0"/>
              <a:cs typeface="Times New Roman" panose="02020603050405020304" pitchFamily="18" charset="0"/>
            </a:rPr>
            <a:t>Target Luaran:</a:t>
          </a:r>
        </a:p>
      </dgm:t>
    </dgm:pt>
    <dgm:pt modelId="{000733CE-0666-43E4-BF0D-42E7AE0A2239}" type="parTrans" cxnId="{F1D43F88-B5AE-430F-ADE2-28616B9E3687}">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64059EFE-B878-43B6-BAFA-D030ACB57B20}" type="sibTrans" cxnId="{F1D43F88-B5AE-430F-ADE2-28616B9E3687}">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715FD6AE-6E24-4A72-AEEF-B76FDCAD8BAF}">
      <dgm:prSet phldrT="[Text]" custT="1"/>
      <dgm:spPr/>
      <dgm:t>
        <a:bodyPr/>
        <a:lstStyle/>
        <a:p>
          <a:pPr algn="just">
            <a:buNone/>
          </a:pPr>
          <a:r>
            <a:rPr lang="en-ID" sz="1200">
              <a:latin typeface="Times New Roman" panose="02020603050405020304" pitchFamily="18" charset="0"/>
              <a:cs typeface="Times New Roman" panose="02020603050405020304" pitchFamily="18" charset="0"/>
            </a:rPr>
            <a:t>1) Publikasi jurnal nasional/internasional bereputasi (Sinta 3/4)</a:t>
          </a:r>
        </a:p>
      </dgm:t>
    </dgm:pt>
    <dgm:pt modelId="{4F8523FF-5712-4A37-B9C8-9755B32CB4F0}" type="parTrans" cxnId="{DF5BDF05-30D4-44CB-A32A-880C37AFDA8C}">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9281F698-CACF-4D0D-9E76-C2A2EBB0E703}" type="sibTrans" cxnId="{DF5BDF05-30D4-44CB-A32A-880C37AFDA8C}">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AA168A82-2D25-495E-BB41-4876E14C5592}">
      <dgm:prSet phldrT="[Text]" custT="1"/>
      <dgm:spPr/>
      <dgm:t>
        <a:bodyPr/>
        <a:lstStyle/>
        <a:p>
          <a:pPr algn="just">
            <a:buNone/>
          </a:pPr>
          <a:r>
            <a:rPr lang="en-ID" sz="1200">
              <a:latin typeface="Times New Roman" panose="02020603050405020304" pitchFamily="18" charset="0"/>
              <a:cs typeface="Times New Roman" panose="02020603050405020304" pitchFamily="18" charset="0"/>
            </a:rPr>
            <a:t>2) Hak Kekayaan Intelektual (HKI) atas ringkasan model penelitian</a:t>
          </a:r>
        </a:p>
      </dgm:t>
    </dgm:pt>
    <dgm:pt modelId="{306403F9-5520-44DD-B759-E0A92DD5B2FD}" type="parTrans" cxnId="{B599D767-A6B0-4ED6-A24D-7D1CC637CC58}">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0D7EAE2F-6DDB-4341-999B-94A61E219D7C}" type="sibTrans" cxnId="{B599D767-A6B0-4ED6-A24D-7D1CC637CC58}">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6B2DA307-AADC-4A58-A10F-139E8C9A9790}">
      <dgm:prSet phldrT="[Text]" custT="1"/>
      <dgm:spPr/>
      <dgm:t>
        <a:bodyPr/>
        <a:lstStyle/>
        <a:p>
          <a:pPr algn="just">
            <a:buNone/>
          </a:pPr>
          <a:r>
            <a:rPr lang="en-ID" sz="1200">
              <a:latin typeface="Times New Roman" panose="02020603050405020304" pitchFamily="18" charset="0"/>
              <a:cs typeface="Times New Roman" panose="02020603050405020304" pitchFamily="18" charset="0"/>
            </a:rPr>
            <a:t>3) Usulan/rekomendasi bagi pelaku ekonomi dan regulator yang meningkatkan efektivitas dan efisiensi kegiatan ekonomi digital syariah</a:t>
          </a:r>
        </a:p>
      </dgm:t>
    </dgm:pt>
    <dgm:pt modelId="{D096826A-8352-430D-A8B0-72F88E6946C7}" type="parTrans" cxnId="{C2612AB5-52D4-48F7-A6B6-127466763FB6}">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64E50CA4-3ABD-4EEF-B1BB-301B3C111586}" type="sibTrans" cxnId="{C2612AB5-52D4-48F7-A6B6-127466763FB6}">
      <dgm:prSet/>
      <dgm:spPr/>
      <dgm:t>
        <a:bodyPr/>
        <a:lstStyle/>
        <a:p>
          <a:pPr algn="just"/>
          <a:endParaRPr lang="en-ID" sz="1200">
            <a:latin typeface="Times New Roman" panose="02020603050405020304" pitchFamily="18" charset="0"/>
            <a:cs typeface="Times New Roman" panose="02020603050405020304" pitchFamily="18" charset="0"/>
          </a:endParaRPr>
        </a:p>
      </dgm:t>
    </dgm:pt>
    <dgm:pt modelId="{F21F24A8-0F8B-4B91-AC36-1DF6E1B77640}" type="pres">
      <dgm:prSet presAssocID="{5D5D87BB-17A0-4EFF-99F1-2CD61734D78A}" presName="vert0" presStyleCnt="0">
        <dgm:presLayoutVars>
          <dgm:dir/>
          <dgm:animOne val="branch"/>
          <dgm:animLvl val="lvl"/>
        </dgm:presLayoutVars>
      </dgm:prSet>
      <dgm:spPr/>
      <dgm:t>
        <a:bodyPr/>
        <a:lstStyle/>
        <a:p>
          <a:endParaRPr lang="en-US"/>
        </a:p>
      </dgm:t>
    </dgm:pt>
    <dgm:pt modelId="{72680F48-81AE-42D8-9E7D-3AFA5E21BE2A}" type="pres">
      <dgm:prSet presAssocID="{E5BAA4A8-E579-4DD7-92BB-A9824594ADCF}" presName="thickLine" presStyleLbl="alignNode1" presStyleIdx="0" presStyleCnt="1"/>
      <dgm:spPr/>
    </dgm:pt>
    <dgm:pt modelId="{854BAD86-36E4-4724-A9DC-78C6733FFB93}" type="pres">
      <dgm:prSet presAssocID="{E5BAA4A8-E579-4DD7-92BB-A9824594ADCF}" presName="horz1" presStyleCnt="0"/>
      <dgm:spPr/>
    </dgm:pt>
    <dgm:pt modelId="{A8A5414F-66FF-44F5-B7AE-19F4B8C47291}" type="pres">
      <dgm:prSet presAssocID="{E5BAA4A8-E579-4DD7-92BB-A9824594ADCF}" presName="tx1" presStyleLbl="revTx" presStyleIdx="0" presStyleCnt="4"/>
      <dgm:spPr/>
      <dgm:t>
        <a:bodyPr/>
        <a:lstStyle/>
        <a:p>
          <a:endParaRPr lang="en-US"/>
        </a:p>
      </dgm:t>
    </dgm:pt>
    <dgm:pt modelId="{436D41A4-A0C3-4240-9AD8-B933403EFB33}" type="pres">
      <dgm:prSet presAssocID="{E5BAA4A8-E579-4DD7-92BB-A9824594ADCF}" presName="vert1" presStyleCnt="0"/>
      <dgm:spPr/>
    </dgm:pt>
    <dgm:pt modelId="{4A2A9071-DFF0-4D3A-9E24-B0F2DD2AA834}" type="pres">
      <dgm:prSet presAssocID="{715FD6AE-6E24-4A72-AEEF-B76FDCAD8BAF}" presName="vertSpace2a" presStyleCnt="0"/>
      <dgm:spPr/>
    </dgm:pt>
    <dgm:pt modelId="{81181A3C-E885-4DB1-9EB9-2B423693EA2D}" type="pres">
      <dgm:prSet presAssocID="{715FD6AE-6E24-4A72-AEEF-B76FDCAD8BAF}" presName="horz2" presStyleCnt="0"/>
      <dgm:spPr/>
    </dgm:pt>
    <dgm:pt modelId="{09B26237-6C8C-45F2-A2AB-4DDDA49B2780}" type="pres">
      <dgm:prSet presAssocID="{715FD6AE-6E24-4A72-AEEF-B76FDCAD8BAF}" presName="horzSpace2" presStyleCnt="0"/>
      <dgm:spPr/>
    </dgm:pt>
    <dgm:pt modelId="{60011CE8-3098-41F3-8C96-0184DF9182A0}" type="pres">
      <dgm:prSet presAssocID="{715FD6AE-6E24-4A72-AEEF-B76FDCAD8BAF}" presName="tx2" presStyleLbl="revTx" presStyleIdx="1" presStyleCnt="4"/>
      <dgm:spPr/>
      <dgm:t>
        <a:bodyPr/>
        <a:lstStyle/>
        <a:p>
          <a:endParaRPr lang="en-US"/>
        </a:p>
      </dgm:t>
    </dgm:pt>
    <dgm:pt modelId="{A93C1530-376F-470B-824D-1F261D3C71E8}" type="pres">
      <dgm:prSet presAssocID="{715FD6AE-6E24-4A72-AEEF-B76FDCAD8BAF}" presName="vert2" presStyleCnt="0"/>
      <dgm:spPr/>
    </dgm:pt>
    <dgm:pt modelId="{F4540174-433C-431C-9E51-FAED83C3DD1C}" type="pres">
      <dgm:prSet presAssocID="{715FD6AE-6E24-4A72-AEEF-B76FDCAD8BAF}" presName="thinLine2b" presStyleLbl="callout" presStyleIdx="0" presStyleCnt="3"/>
      <dgm:spPr/>
    </dgm:pt>
    <dgm:pt modelId="{2B116B8A-90F3-463D-898D-DB83B4885588}" type="pres">
      <dgm:prSet presAssocID="{715FD6AE-6E24-4A72-AEEF-B76FDCAD8BAF}" presName="vertSpace2b" presStyleCnt="0"/>
      <dgm:spPr/>
    </dgm:pt>
    <dgm:pt modelId="{0D3B574C-62D0-465C-8E26-E9CEC2C14FDC}" type="pres">
      <dgm:prSet presAssocID="{AA168A82-2D25-495E-BB41-4876E14C5592}" presName="horz2" presStyleCnt="0"/>
      <dgm:spPr/>
    </dgm:pt>
    <dgm:pt modelId="{3E2464B4-6DA3-42CA-B664-9E3A5DB3813D}" type="pres">
      <dgm:prSet presAssocID="{AA168A82-2D25-495E-BB41-4876E14C5592}" presName="horzSpace2" presStyleCnt="0"/>
      <dgm:spPr/>
    </dgm:pt>
    <dgm:pt modelId="{3DD6660B-5DF5-440A-A8C1-13ED9C3A9F10}" type="pres">
      <dgm:prSet presAssocID="{AA168A82-2D25-495E-BB41-4876E14C5592}" presName="tx2" presStyleLbl="revTx" presStyleIdx="2" presStyleCnt="4"/>
      <dgm:spPr/>
      <dgm:t>
        <a:bodyPr/>
        <a:lstStyle/>
        <a:p>
          <a:endParaRPr lang="en-US"/>
        </a:p>
      </dgm:t>
    </dgm:pt>
    <dgm:pt modelId="{39BD1171-FB27-4361-BE28-5E632CD4950F}" type="pres">
      <dgm:prSet presAssocID="{AA168A82-2D25-495E-BB41-4876E14C5592}" presName="vert2" presStyleCnt="0"/>
      <dgm:spPr/>
    </dgm:pt>
    <dgm:pt modelId="{9157E347-AD68-4872-BEE7-256275FF6700}" type="pres">
      <dgm:prSet presAssocID="{AA168A82-2D25-495E-BB41-4876E14C5592}" presName="thinLine2b" presStyleLbl="callout" presStyleIdx="1" presStyleCnt="3"/>
      <dgm:spPr/>
    </dgm:pt>
    <dgm:pt modelId="{4B5E0BB0-419A-4536-810C-C0D5ABF33D78}" type="pres">
      <dgm:prSet presAssocID="{AA168A82-2D25-495E-BB41-4876E14C5592}" presName="vertSpace2b" presStyleCnt="0"/>
      <dgm:spPr/>
    </dgm:pt>
    <dgm:pt modelId="{03F9B0CF-2327-4B1B-9AFD-E9909A540C69}" type="pres">
      <dgm:prSet presAssocID="{6B2DA307-AADC-4A58-A10F-139E8C9A9790}" presName="horz2" presStyleCnt="0"/>
      <dgm:spPr/>
    </dgm:pt>
    <dgm:pt modelId="{75A8869A-AD00-4764-AEB8-8A3DE91F361C}" type="pres">
      <dgm:prSet presAssocID="{6B2DA307-AADC-4A58-A10F-139E8C9A9790}" presName="horzSpace2" presStyleCnt="0"/>
      <dgm:spPr/>
    </dgm:pt>
    <dgm:pt modelId="{4214A2B5-DB9C-420D-B28F-DDAE3955CC0D}" type="pres">
      <dgm:prSet presAssocID="{6B2DA307-AADC-4A58-A10F-139E8C9A9790}" presName="tx2" presStyleLbl="revTx" presStyleIdx="3" presStyleCnt="4" custScaleY="116110"/>
      <dgm:spPr/>
      <dgm:t>
        <a:bodyPr/>
        <a:lstStyle/>
        <a:p>
          <a:endParaRPr lang="en-US"/>
        </a:p>
      </dgm:t>
    </dgm:pt>
    <dgm:pt modelId="{D98F71D7-7AF9-49AD-8D77-35427D8B303B}" type="pres">
      <dgm:prSet presAssocID="{6B2DA307-AADC-4A58-A10F-139E8C9A9790}" presName="vert2" presStyleCnt="0"/>
      <dgm:spPr/>
    </dgm:pt>
    <dgm:pt modelId="{074CDE3F-A5E4-4EC5-9C1F-CFFCD253B579}" type="pres">
      <dgm:prSet presAssocID="{6B2DA307-AADC-4A58-A10F-139E8C9A9790}" presName="thinLine2b" presStyleLbl="callout" presStyleIdx="2" presStyleCnt="3"/>
      <dgm:spPr/>
    </dgm:pt>
    <dgm:pt modelId="{7AE75597-6DF0-4B90-89FA-3BACD4DAB852}" type="pres">
      <dgm:prSet presAssocID="{6B2DA307-AADC-4A58-A10F-139E8C9A9790}" presName="vertSpace2b" presStyleCnt="0"/>
      <dgm:spPr/>
    </dgm:pt>
  </dgm:ptLst>
  <dgm:cxnLst>
    <dgm:cxn modelId="{504BCDED-F463-42BB-9D19-57C47AB175A6}" type="presOf" srcId="{5D5D87BB-17A0-4EFF-99F1-2CD61734D78A}" destId="{F21F24A8-0F8B-4B91-AC36-1DF6E1B77640}" srcOrd="0" destOrd="0" presId="urn:microsoft.com/office/officeart/2008/layout/LinedList"/>
    <dgm:cxn modelId="{32AA69C0-5493-493F-B0CF-A948630B98D6}" type="presOf" srcId="{E5BAA4A8-E579-4DD7-92BB-A9824594ADCF}" destId="{A8A5414F-66FF-44F5-B7AE-19F4B8C47291}" srcOrd="0" destOrd="0" presId="urn:microsoft.com/office/officeart/2008/layout/LinedList"/>
    <dgm:cxn modelId="{F1D43F88-B5AE-430F-ADE2-28616B9E3687}" srcId="{5D5D87BB-17A0-4EFF-99F1-2CD61734D78A}" destId="{E5BAA4A8-E579-4DD7-92BB-A9824594ADCF}" srcOrd="0" destOrd="0" parTransId="{000733CE-0666-43E4-BF0D-42E7AE0A2239}" sibTransId="{64059EFE-B878-43B6-BAFA-D030ACB57B20}"/>
    <dgm:cxn modelId="{C2612AB5-52D4-48F7-A6B6-127466763FB6}" srcId="{E5BAA4A8-E579-4DD7-92BB-A9824594ADCF}" destId="{6B2DA307-AADC-4A58-A10F-139E8C9A9790}" srcOrd="2" destOrd="0" parTransId="{D096826A-8352-430D-A8B0-72F88E6946C7}" sibTransId="{64E50CA4-3ABD-4EEF-B1BB-301B3C111586}"/>
    <dgm:cxn modelId="{C1AEBF80-654C-4020-B5E2-07ED970F41F0}" type="presOf" srcId="{715FD6AE-6E24-4A72-AEEF-B76FDCAD8BAF}" destId="{60011CE8-3098-41F3-8C96-0184DF9182A0}" srcOrd="0" destOrd="0" presId="urn:microsoft.com/office/officeart/2008/layout/LinedList"/>
    <dgm:cxn modelId="{CDA8DA84-092F-4A10-B374-439BF788E817}" type="presOf" srcId="{AA168A82-2D25-495E-BB41-4876E14C5592}" destId="{3DD6660B-5DF5-440A-A8C1-13ED9C3A9F10}" srcOrd="0" destOrd="0" presId="urn:microsoft.com/office/officeart/2008/layout/LinedList"/>
    <dgm:cxn modelId="{DF5BDF05-30D4-44CB-A32A-880C37AFDA8C}" srcId="{E5BAA4A8-E579-4DD7-92BB-A9824594ADCF}" destId="{715FD6AE-6E24-4A72-AEEF-B76FDCAD8BAF}" srcOrd="0" destOrd="0" parTransId="{4F8523FF-5712-4A37-B9C8-9755B32CB4F0}" sibTransId="{9281F698-CACF-4D0D-9E76-C2A2EBB0E703}"/>
    <dgm:cxn modelId="{865F2D2F-ED21-4E64-8D01-1B3B42051949}" type="presOf" srcId="{6B2DA307-AADC-4A58-A10F-139E8C9A9790}" destId="{4214A2B5-DB9C-420D-B28F-DDAE3955CC0D}" srcOrd="0" destOrd="0" presId="urn:microsoft.com/office/officeart/2008/layout/LinedList"/>
    <dgm:cxn modelId="{B599D767-A6B0-4ED6-A24D-7D1CC637CC58}" srcId="{E5BAA4A8-E579-4DD7-92BB-A9824594ADCF}" destId="{AA168A82-2D25-495E-BB41-4876E14C5592}" srcOrd="1" destOrd="0" parTransId="{306403F9-5520-44DD-B759-E0A92DD5B2FD}" sibTransId="{0D7EAE2F-6DDB-4341-999B-94A61E219D7C}"/>
    <dgm:cxn modelId="{49775583-B611-46FC-97F3-3C48AF8B75D0}" type="presParOf" srcId="{F21F24A8-0F8B-4B91-AC36-1DF6E1B77640}" destId="{72680F48-81AE-42D8-9E7D-3AFA5E21BE2A}" srcOrd="0" destOrd="0" presId="urn:microsoft.com/office/officeart/2008/layout/LinedList"/>
    <dgm:cxn modelId="{33519CAF-144B-4FA9-ADCC-676098DC701F}" type="presParOf" srcId="{F21F24A8-0F8B-4B91-AC36-1DF6E1B77640}" destId="{854BAD86-36E4-4724-A9DC-78C6733FFB93}" srcOrd="1" destOrd="0" presId="urn:microsoft.com/office/officeart/2008/layout/LinedList"/>
    <dgm:cxn modelId="{B191F790-77EC-4E8A-9C40-93AB00AB9980}" type="presParOf" srcId="{854BAD86-36E4-4724-A9DC-78C6733FFB93}" destId="{A8A5414F-66FF-44F5-B7AE-19F4B8C47291}" srcOrd="0" destOrd="0" presId="urn:microsoft.com/office/officeart/2008/layout/LinedList"/>
    <dgm:cxn modelId="{94CA3520-3FA0-4FEC-B2B3-3DAEB61122DC}" type="presParOf" srcId="{854BAD86-36E4-4724-A9DC-78C6733FFB93}" destId="{436D41A4-A0C3-4240-9AD8-B933403EFB33}" srcOrd="1" destOrd="0" presId="urn:microsoft.com/office/officeart/2008/layout/LinedList"/>
    <dgm:cxn modelId="{687E3E05-0938-4032-98A0-9CEDA057121D}" type="presParOf" srcId="{436D41A4-A0C3-4240-9AD8-B933403EFB33}" destId="{4A2A9071-DFF0-4D3A-9E24-B0F2DD2AA834}" srcOrd="0" destOrd="0" presId="urn:microsoft.com/office/officeart/2008/layout/LinedList"/>
    <dgm:cxn modelId="{A964680A-B4A4-41CC-8085-E07A5FC65961}" type="presParOf" srcId="{436D41A4-A0C3-4240-9AD8-B933403EFB33}" destId="{81181A3C-E885-4DB1-9EB9-2B423693EA2D}" srcOrd="1" destOrd="0" presId="urn:microsoft.com/office/officeart/2008/layout/LinedList"/>
    <dgm:cxn modelId="{FA9011BE-7230-43F0-ADE3-EE245F69A5F2}" type="presParOf" srcId="{81181A3C-E885-4DB1-9EB9-2B423693EA2D}" destId="{09B26237-6C8C-45F2-A2AB-4DDDA49B2780}" srcOrd="0" destOrd="0" presId="urn:microsoft.com/office/officeart/2008/layout/LinedList"/>
    <dgm:cxn modelId="{391D478D-B25C-40A2-AD29-D44746CD06C2}" type="presParOf" srcId="{81181A3C-E885-4DB1-9EB9-2B423693EA2D}" destId="{60011CE8-3098-41F3-8C96-0184DF9182A0}" srcOrd="1" destOrd="0" presId="urn:microsoft.com/office/officeart/2008/layout/LinedList"/>
    <dgm:cxn modelId="{7427AAE7-D82B-470E-8A08-E7E23E42D2D6}" type="presParOf" srcId="{81181A3C-E885-4DB1-9EB9-2B423693EA2D}" destId="{A93C1530-376F-470B-824D-1F261D3C71E8}" srcOrd="2" destOrd="0" presId="urn:microsoft.com/office/officeart/2008/layout/LinedList"/>
    <dgm:cxn modelId="{EFE3DD4F-609F-4E17-887D-89C1EBEDC1D4}" type="presParOf" srcId="{436D41A4-A0C3-4240-9AD8-B933403EFB33}" destId="{F4540174-433C-431C-9E51-FAED83C3DD1C}" srcOrd="2" destOrd="0" presId="urn:microsoft.com/office/officeart/2008/layout/LinedList"/>
    <dgm:cxn modelId="{7A214ACC-6587-4412-90FD-9CC6369B82A8}" type="presParOf" srcId="{436D41A4-A0C3-4240-9AD8-B933403EFB33}" destId="{2B116B8A-90F3-463D-898D-DB83B4885588}" srcOrd="3" destOrd="0" presId="urn:microsoft.com/office/officeart/2008/layout/LinedList"/>
    <dgm:cxn modelId="{973F25A6-F8F0-4B34-9086-A2A8F0D79BFB}" type="presParOf" srcId="{436D41A4-A0C3-4240-9AD8-B933403EFB33}" destId="{0D3B574C-62D0-465C-8E26-E9CEC2C14FDC}" srcOrd="4" destOrd="0" presId="urn:microsoft.com/office/officeart/2008/layout/LinedList"/>
    <dgm:cxn modelId="{1268C89E-5E64-499C-BD79-07C7C7722B56}" type="presParOf" srcId="{0D3B574C-62D0-465C-8E26-E9CEC2C14FDC}" destId="{3E2464B4-6DA3-42CA-B664-9E3A5DB3813D}" srcOrd="0" destOrd="0" presId="urn:microsoft.com/office/officeart/2008/layout/LinedList"/>
    <dgm:cxn modelId="{49F3C90B-BF93-45E5-B002-F02ABC30ACF7}" type="presParOf" srcId="{0D3B574C-62D0-465C-8E26-E9CEC2C14FDC}" destId="{3DD6660B-5DF5-440A-A8C1-13ED9C3A9F10}" srcOrd="1" destOrd="0" presId="urn:microsoft.com/office/officeart/2008/layout/LinedList"/>
    <dgm:cxn modelId="{8E25FCD7-689D-41F8-938E-AAD7D5FEDBBE}" type="presParOf" srcId="{0D3B574C-62D0-465C-8E26-E9CEC2C14FDC}" destId="{39BD1171-FB27-4361-BE28-5E632CD4950F}" srcOrd="2" destOrd="0" presId="urn:microsoft.com/office/officeart/2008/layout/LinedList"/>
    <dgm:cxn modelId="{3D96571D-5FBE-4469-AEDF-984266296C62}" type="presParOf" srcId="{436D41A4-A0C3-4240-9AD8-B933403EFB33}" destId="{9157E347-AD68-4872-BEE7-256275FF6700}" srcOrd="5" destOrd="0" presId="urn:microsoft.com/office/officeart/2008/layout/LinedList"/>
    <dgm:cxn modelId="{AA41F1B9-137A-4613-A246-01974FB4C6A0}" type="presParOf" srcId="{436D41A4-A0C3-4240-9AD8-B933403EFB33}" destId="{4B5E0BB0-419A-4536-810C-C0D5ABF33D78}" srcOrd="6" destOrd="0" presId="urn:microsoft.com/office/officeart/2008/layout/LinedList"/>
    <dgm:cxn modelId="{D2429F65-1BD0-4EFC-B618-F5E7D816C608}" type="presParOf" srcId="{436D41A4-A0C3-4240-9AD8-B933403EFB33}" destId="{03F9B0CF-2327-4B1B-9AFD-E9909A540C69}" srcOrd="7" destOrd="0" presId="urn:microsoft.com/office/officeart/2008/layout/LinedList"/>
    <dgm:cxn modelId="{8852C440-1D6B-4362-BD76-D29B968DF91A}" type="presParOf" srcId="{03F9B0CF-2327-4B1B-9AFD-E9909A540C69}" destId="{75A8869A-AD00-4764-AEB8-8A3DE91F361C}" srcOrd="0" destOrd="0" presId="urn:microsoft.com/office/officeart/2008/layout/LinedList"/>
    <dgm:cxn modelId="{C18FF314-CED7-42A9-A555-8BF192AAA349}" type="presParOf" srcId="{03F9B0CF-2327-4B1B-9AFD-E9909A540C69}" destId="{4214A2B5-DB9C-420D-B28F-DDAE3955CC0D}" srcOrd="1" destOrd="0" presId="urn:microsoft.com/office/officeart/2008/layout/LinedList"/>
    <dgm:cxn modelId="{674F1DDF-28FA-48A1-8E11-9675AA4EB53B}" type="presParOf" srcId="{03F9B0CF-2327-4B1B-9AFD-E9909A540C69}" destId="{D98F71D7-7AF9-49AD-8D77-35427D8B303B}" srcOrd="2" destOrd="0" presId="urn:microsoft.com/office/officeart/2008/layout/LinedList"/>
    <dgm:cxn modelId="{C74B972D-9627-4C35-8F0B-81758421E5C5}" type="presParOf" srcId="{436D41A4-A0C3-4240-9AD8-B933403EFB33}" destId="{074CDE3F-A5E4-4EC5-9C1F-CFFCD253B579}" srcOrd="8" destOrd="0" presId="urn:microsoft.com/office/officeart/2008/layout/LinedList"/>
    <dgm:cxn modelId="{CA17BBB5-F3C6-4649-BFBB-D07DAE609CAA}" type="presParOf" srcId="{436D41A4-A0C3-4240-9AD8-B933403EFB33}" destId="{7AE75597-6DF0-4B90-89FA-3BACD4DAB852}" srcOrd="9" destOrd="0" presId="urn:microsoft.com/office/officeart/2008/layout/LinedList"/>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A9C614-2739-4E92-8A0A-D29845C0CE58}">
      <dsp:nvSpPr>
        <dsp:cNvPr id="0" name=""/>
        <dsp:cNvSpPr/>
      </dsp:nvSpPr>
      <dsp:spPr>
        <a:xfrm>
          <a:off x="0" y="0"/>
          <a:ext cx="4224528" cy="576072"/>
        </a:xfrm>
        <a:prstGeom prst="roundRect">
          <a:avLst>
            <a:gd name="adj" fmla="val 10000"/>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buNone/>
          </a:pPr>
          <a:r>
            <a:rPr lang="en-ID" sz="800" b="1" kern="1200"/>
            <a:t>2025 (Fokus Saat Ini):</a:t>
          </a:r>
          <a:r>
            <a:rPr lang="en-ID" sz="800" kern="1200"/>
            <a:t> Analisis determinan jumlah partisipasi pemodal dengan faktor ROI, Tenor, Nilai Pendanaan, dan moderasi makroekonomi (BI-Rate) menggunakan pendekatan PLS-SEM pada platform shafiq.id</a:t>
          </a:r>
        </a:p>
      </dsp:txBody>
      <dsp:txXfrm>
        <a:off x="16873" y="16873"/>
        <a:ext cx="3535500" cy="542326"/>
      </dsp:txXfrm>
    </dsp:sp>
    <dsp:sp modelId="{0B75B8C3-E512-4059-A077-46CB7F6B3FF0}">
      <dsp:nvSpPr>
        <dsp:cNvPr id="0" name=""/>
        <dsp:cNvSpPr/>
      </dsp:nvSpPr>
      <dsp:spPr>
        <a:xfrm>
          <a:off x="315468" y="656082"/>
          <a:ext cx="4224528" cy="576072"/>
        </a:xfrm>
        <a:prstGeom prst="roundRect">
          <a:avLst>
            <a:gd name="adj" fmla="val 10000"/>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buClr>
              <a:srgbClr val="000000"/>
            </a:buClr>
            <a:buSzPts val="1100"/>
            <a:buFont typeface="Arial" panose="020B0604020202020204" pitchFamily="34" charset="0"/>
            <a:buChar char="●"/>
          </a:pPr>
          <a:r>
            <a:rPr lang="en-ID" sz="800" b="1" u="none" kern="1200"/>
            <a:t>2026:</a:t>
          </a:r>
          <a:r>
            <a:rPr lang="en-ID" sz="800" u="none" kern="1200"/>
            <a:t> Komparasi komprehensif perilaku pemodal pada seluruh platform </a:t>
          </a:r>
          <a:r>
            <a:rPr lang="en-ID" sz="800" i="1" u="none" kern="1200"/>
            <a:t>Securities Crowdfunding</a:t>
          </a:r>
          <a:r>
            <a:rPr lang="en-ID" sz="800" u="none" kern="1200"/>
            <a:t> Syariah dan Konvensional di Indonesia terhadap </a:t>
          </a:r>
          <a:r>
            <a:rPr lang="en-ID" sz="800" i="1" u="none" kern="1200"/>
            <a:t>shock</a:t>
          </a:r>
          <a:r>
            <a:rPr lang="en-ID" sz="800" u="none" kern="1200"/>
            <a:t> indikator makroekonomi.</a:t>
          </a:r>
          <a:endParaRPr lang="en-ID" sz="800" kern="1200"/>
        </a:p>
      </dsp:txBody>
      <dsp:txXfrm>
        <a:off x="332341" y="672955"/>
        <a:ext cx="3500867" cy="542326"/>
      </dsp:txXfrm>
    </dsp:sp>
    <dsp:sp modelId="{5505D204-D185-4728-A069-B57BE09622AC}">
      <dsp:nvSpPr>
        <dsp:cNvPr id="0" name=""/>
        <dsp:cNvSpPr/>
      </dsp:nvSpPr>
      <dsp:spPr>
        <a:xfrm>
          <a:off x="630935" y="1312164"/>
          <a:ext cx="4224528" cy="576072"/>
        </a:xfrm>
        <a:prstGeom prst="roundRect">
          <a:avLst>
            <a:gd name="adj" fmla="val 10000"/>
          </a:avLst>
        </a:prstGeom>
        <a:solidFill>
          <a:schemeClr val="accent4">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buClr>
              <a:srgbClr val="000000"/>
            </a:buClr>
            <a:buSzPts val="1100"/>
            <a:buFont typeface="Arial" panose="020B0604020202020204" pitchFamily="34" charset="0"/>
            <a:buChar char="●"/>
          </a:pPr>
          <a:r>
            <a:rPr lang="en-ID" sz="800" b="1" u="none" kern="1200"/>
            <a:t>2027:</a:t>
          </a:r>
          <a:r>
            <a:rPr lang="en-ID" sz="800" u="none" kern="1200"/>
            <a:t> Integrasi sentimen analisis </a:t>
          </a:r>
          <a:r>
            <a:rPr lang="en-ID" sz="800" i="1" u="none" kern="1200"/>
            <a:t>Big Data</a:t>
          </a:r>
          <a:r>
            <a:rPr lang="en-ID" sz="800" u="none" kern="1200"/>
            <a:t> media sosial dan tingkat inflasi terhadap probabilitas keberhasilan </a:t>
          </a:r>
          <a:r>
            <a:rPr lang="en-ID" sz="800" i="1" u="none" kern="1200"/>
            <a:t>fundraising</a:t>
          </a:r>
          <a:r>
            <a:rPr lang="en-ID" sz="800" u="none" kern="1200"/>
            <a:t> SCF Syariah.</a:t>
          </a:r>
          <a:endParaRPr lang="en-ID" sz="800" kern="1200"/>
        </a:p>
      </dsp:txBody>
      <dsp:txXfrm>
        <a:off x="647808" y="1329037"/>
        <a:ext cx="3500867" cy="542326"/>
      </dsp:txXfrm>
    </dsp:sp>
    <dsp:sp modelId="{15B608B2-012C-4687-B812-0572742C0ED8}">
      <dsp:nvSpPr>
        <dsp:cNvPr id="0" name=""/>
        <dsp:cNvSpPr/>
      </dsp:nvSpPr>
      <dsp:spPr>
        <a:xfrm>
          <a:off x="946404" y="1968246"/>
          <a:ext cx="4224528" cy="576072"/>
        </a:xfrm>
        <a:prstGeom prst="roundRect">
          <a:avLst>
            <a:gd name="adj" fmla="val 10000"/>
          </a:avLst>
        </a:prstGeom>
        <a:solidFill>
          <a:schemeClr val="accent5">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buClr>
              <a:srgbClr val="000000"/>
            </a:buClr>
            <a:buSzPts val="1100"/>
            <a:buFont typeface="Arial" panose="020B0604020202020204" pitchFamily="34" charset="0"/>
            <a:buChar char="●"/>
          </a:pPr>
          <a:r>
            <a:rPr lang="en-ID" sz="800" b="1" u="none" kern="1200"/>
            <a:t>2028:</a:t>
          </a:r>
          <a:r>
            <a:rPr lang="en-ID" sz="800" u="none" kern="1200"/>
            <a:t> Pengembangan algoritma </a:t>
          </a:r>
          <a:r>
            <a:rPr lang="en-ID" sz="800" i="1" u="none" kern="1200"/>
            <a:t>Machine Learning</a:t>
          </a:r>
          <a:r>
            <a:rPr lang="en-ID" sz="800" u="none" kern="1200"/>
            <a:t> untuk memprediksi risiko gagal bayar (</a:t>
          </a:r>
          <a:r>
            <a:rPr lang="en-ID" sz="800" i="1" u="none" kern="1200"/>
            <a:t>default</a:t>
          </a:r>
          <a:r>
            <a:rPr lang="en-ID" sz="800" u="none" kern="1200"/>
            <a:t>) pada instrumen Sukuk UMKM di platform digital.</a:t>
          </a:r>
          <a:endParaRPr lang="en-ID" sz="800" kern="1200"/>
        </a:p>
      </dsp:txBody>
      <dsp:txXfrm>
        <a:off x="963277" y="1985119"/>
        <a:ext cx="3500867" cy="542326"/>
      </dsp:txXfrm>
    </dsp:sp>
    <dsp:sp modelId="{00BD2881-89EE-4C0B-8A54-DDAB189BA4AE}">
      <dsp:nvSpPr>
        <dsp:cNvPr id="0" name=""/>
        <dsp:cNvSpPr/>
      </dsp:nvSpPr>
      <dsp:spPr>
        <a:xfrm>
          <a:off x="1261871" y="2624328"/>
          <a:ext cx="4224528" cy="576072"/>
        </a:xfrm>
        <a:prstGeom prst="roundRect">
          <a:avLst>
            <a:gd name="adj" fmla="val 10000"/>
          </a:avLst>
        </a:prstGeom>
        <a:solidFill>
          <a:schemeClr val="accent6">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l" defTabSz="355600">
            <a:lnSpc>
              <a:spcPct val="90000"/>
            </a:lnSpc>
            <a:spcBef>
              <a:spcPct val="0"/>
            </a:spcBef>
            <a:spcAft>
              <a:spcPct val="35000"/>
            </a:spcAft>
            <a:buClr>
              <a:srgbClr val="000000"/>
            </a:buClr>
            <a:buSzPts val="1100"/>
            <a:buFont typeface="Arial" panose="020B0604020202020204" pitchFamily="34" charset="0"/>
            <a:buChar char="●"/>
          </a:pPr>
          <a:r>
            <a:rPr lang="en-ID" sz="800" b="1" u="none" kern="1200"/>
            <a:t>2029:</a:t>
          </a:r>
          <a:r>
            <a:rPr lang="en-ID" sz="800" u="none" kern="1200"/>
            <a:t> Penyusunan draf rekomendasi kebijakan mitigasi risiko investasi digital bagi Otoritas Jasa Keuangan (OJK) dan Asosiasi Fintech Syariah Indonesia (AFSI).</a:t>
          </a:r>
          <a:endParaRPr lang="en-ID" sz="800" kern="1200"/>
        </a:p>
      </dsp:txBody>
      <dsp:txXfrm>
        <a:off x="1278744" y="2641201"/>
        <a:ext cx="3500867" cy="542326"/>
      </dsp:txXfrm>
    </dsp:sp>
    <dsp:sp modelId="{2FC3CAEB-7280-456C-98BA-3F5CAF9FFCB6}">
      <dsp:nvSpPr>
        <dsp:cNvPr id="0" name=""/>
        <dsp:cNvSpPr/>
      </dsp:nvSpPr>
      <dsp:spPr>
        <a:xfrm>
          <a:off x="3850081" y="420852"/>
          <a:ext cx="374446" cy="374446"/>
        </a:xfrm>
        <a:prstGeom prst="downArrow">
          <a:avLst>
            <a:gd name="adj1" fmla="val 55000"/>
            <a:gd name="adj2" fmla="val 45000"/>
          </a:avLst>
        </a:prstGeom>
        <a:solidFill>
          <a:schemeClr val="accent2">
            <a:tint val="40000"/>
            <a:alpha val="90000"/>
            <a:hueOff val="0"/>
            <a:satOff val="0"/>
            <a:lumOff val="0"/>
            <a:alphaOff val="0"/>
          </a:schemeClr>
        </a:solidFill>
        <a:ln w="25400" cap="flat" cmpd="sng" algn="ctr">
          <a:solidFill>
            <a:schemeClr val="accent2">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n-ID" sz="1700" kern="1200"/>
        </a:p>
      </dsp:txBody>
      <dsp:txXfrm>
        <a:off x="3934331" y="420852"/>
        <a:ext cx="205946" cy="281771"/>
      </dsp:txXfrm>
    </dsp:sp>
    <dsp:sp modelId="{F26037C3-3AFF-4CA6-AF01-E102CCFF18AF}">
      <dsp:nvSpPr>
        <dsp:cNvPr id="0" name=""/>
        <dsp:cNvSpPr/>
      </dsp:nvSpPr>
      <dsp:spPr>
        <a:xfrm>
          <a:off x="4165549" y="1076934"/>
          <a:ext cx="374446" cy="374446"/>
        </a:xfrm>
        <a:prstGeom prst="downArrow">
          <a:avLst>
            <a:gd name="adj1" fmla="val 55000"/>
            <a:gd name="adj2" fmla="val 45000"/>
          </a:avLst>
        </a:prstGeom>
        <a:solidFill>
          <a:schemeClr val="accent3">
            <a:tint val="40000"/>
            <a:alpha val="90000"/>
            <a:hueOff val="0"/>
            <a:satOff val="0"/>
            <a:lumOff val="0"/>
            <a:alphaOff val="0"/>
          </a:schemeClr>
        </a:solidFill>
        <a:ln w="25400" cap="flat" cmpd="sng" algn="ctr">
          <a:solidFill>
            <a:schemeClr val="accent3">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n-ID" sz="1700" kern="1200"/>
        </a:p>
      </dsp:txBody>
      <dsp:txXfrm>
        <a:off x="4249799" y="1076934"/>
        <a:ext cx="205946" cy="281771"/>
      </dsp:txXfrm>
    </dsp:sp>
    <dsp:sp modelId="{292A9C3F-B64B-4CBF-9F88-9954C9373414}">
      <dsp:nvSpPr>
        <dsp:cNvPr id="0" name=""/>
        <dsp:cNvSpPr/>
      </dsp:nvSpPr>
      <dsp:spPr>
        <a:xfrm>
          <a:off x="4481017" y="1723415"/>
          <a:ext cx="374446" cy="374446"/>
        </a:xfrm>
        <a:prstGeom prst="downArrow">
          <a:avLst>
            <a:gd name="adj1" fmla="val 55000"/>
            <a:gd name="adj2" fmla="val 45000"/>
          </a:avLst>
        </a:prstGeom>
        <a:solidFill>
          <a:schemeClr val="accent4">
            <a:tint val="40000"/>
            <a:alpha val="90000"/>
            <a:hueOff val="0"/>
            <a:satOff val="0"/>
            <a:lumOff val="0"/>
            <a:alphaOff val="0"/>
          </a:schemeClr>
        </a:solidFill>
        <a:ln w="25400" cap="flat" cmpd="sng" algn="ctr">
          <a:solidFill>
            <a:schemeClr val="accent4">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n-ID" sz="1700" kern="1200"/>
        </a:p>
      </dsp:txBody>
      <dsp:txXfrm>
        <a:off x="4565267" y="1723415"/>
        <a:ext cx="205946" cy="281771"/>
      </dsp:txXfrm>
    </dsp:sp>
    <dsp:sp modelId="{3860562C-80DA-4D91-B43C-6A979B7CCBB8}">
      <dsp:nvSpPr>
        <dsp:cNvPr id="0" name=""/>
        <dsp:cNvSpPr/>
      </dsp:nvSpPr>
      <dsp:spPr>
        <a:xfrm>
          <a:off x="4796485" y="2385898"/>
          <a:ext cx="374446" cy="374446"/>
        </a:xfrm>
        <a:prstGeom prst="downArrow">
          <a:avLst>
            <a:gd name="adj1" fmla="val 55000"/>
            <a:gd name="adj2" fmla="val 45000"/>
          </a:avLst>
        </a:prstGeom>
        <a:solidFill>
          <a:schemeClr val="accent5">
            <a:tint val="40000"/>
            <a:alpha val="90000"/>
            <a:hueOff val="0"/>
            <a:satOff val="0"/>
            <a:lumOff val="0"/>
            <a:alphaOff val="0"/>
          </a:schemeClr>
        </a:solidFill>
        <a:ln w="25400" cap="flat" cmpd="sng" algn="ctr">
          <a:solidFill>
            <a:schemeClr val="accent5">
              <a:tint val="40000"/>
              <a:alpha val="9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endParaRPr lang="en-ID" sz="1700" kern="1200"/>
        </a:p>
      </dsp:txBody>
      <dsp:txXfrm>
        <a:off x="4880735" y="2385898"/>
        <a:ext cx="205946" cy="28177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2680F48-81AE-42D8-9E7D-3AFA5E21BE2A}">
      <dsp:nvSpPr>
        <dsp:cNvPr id="0" name=""/>
        <dsp:cNvSpPr/>
      </dsp:nvSpPr>
      <dsp:spPr>
        <a:xfrm>
          <a:off x="0" y="0"/>
          <a:ext cx="5486400" cy="0"/>
        </a:xfrm>
        <a:prstGeom prst="line">
          <a:avLst/>
        </a:prstGeom>
        <a:solidFill>
          <a:schemeClr val="accent1">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8A5414F-66FF-44F5-B7AE-19F4B8C47291}">
      <dsp:nvSpPr>
        <dsp:cNvPr id="0" name=""/>
        <dsp:cNvSpPr/>
      </dsp:nvSpPr>
      <dsp:spPr>
        <a:xfrm>
          <a:off x="0" y="0"/>
          <a:ext cx="1097280" cy="168402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pPr>
          <a:r>
            <a:rPr lang="en-ID" sz="1200" kern="1200">
              <a:latin typeface="Times New Roman" panose="02020603050405020304" pitchFamily="18" charset="0"/>
              <a:cs typeface="Times New Roman" panose="02020603050405020304" pitchFamily="18" charset="0"/>
            </a:rPr>
            <a:t>Target Luaran:</a:t>
          </a:r>
        </a:p>
      </dsp:txBody>
      <dsp:txXfrm>
        <a:off x="0" y="0"/>
        <a:ext cx="1097280" cy="1684020"/>
      </dsp:txXfrm>
    </dsp:sp>
    <dsp:sp modelId="{60011CE8-3098-41F3-8C96-0184DF9182A0}">
      <dsp:nvSpPr>
        <dsp:cNvPr id="0" name=""/>
        <dsp:cNvSpPr/>
      </dsp:nvSpPr>
      <dsp:spPr>
        <a:xfrm>
          <a:off x="1179576" y="25038"/>
          <a:ext cx="4306824" cy="5007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buNone/>
          </a:pPr>
          <a:r>
            <a:rPr lang="en-ID" sz="1200" kern="1200">
              <a:latin typeface="Times New Roman" panose="02020603050405020304" pitchFamily="18" charset="0"/>
              <a:cs typeface="Times New Roman" panose="02020603050405020304" pitchFamily="18" charset="0"/>
            </a:rPr>
            <a:t>1) Publikasi jurnal nasional/internasional bereputasi (Sinta 3/4)</a:t>
          </a:r>
        </a:p>
      </dsp:txBody>
      <dsp:txXfrm>
        <a:off x="1179576" y="25038"/>
        <a:ext cx="4306824" cy="500765"/>
      </dsp:txXfrm>
    </dsp:sp>
    <dsp:sp modelId="{F4540174-433C-431C-9E51-FAED83C3DD1C}">
      <dsp:nvSpPr>
        <dsp:cNvPr id="0" name=""/>
        <dsp:cNvSpPr/>
      </dsp:nvSpPr>
      <dsp:spPr>
        <a:xfrm>
          <a:off x="1097280" y="525803"/>
          <a:ext cx="438912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3DD6660B-5DF5-440A-A8C1-13ED9C3A9F10}">
      <dsp:nvSpPr>
        <dsp:cNvPr id="0" name=""/>
        <dsp:cNvSpPr/>
      </dsp:nvSpPr>
      <dsp:spPr>
        <a:xfrm>
          <a:off x="1179576" y="550842"/>
          <a:ext cx="4306824" cy="50076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buNone/>
          </a:pPr>
          <a:r>
            <a:rPr lang="en-ID" sz="1200" kern="1200">
              <a:latin typeface="Times New Roman" panose="02020603050405020304" pitchFamily="18" charset="0"/>
              <a:cs typeface="Times New Roman" panose="02020603050405020304" pitchFamily="18" charset="0"/>
            </a:rPr>
            <a:t>2) Hak Kekayaan Intelektual (HKI) atas ringkasan model penelitian</a:t>
          </a:r>
        </a:p>
      </dsp:txBody>
      <dsp:txXfrm>
        <a:off x="1179576" y="550842"/>
        <a:ext cx="4306824" cy="500765"/>
      </dsp:txXfrm>
    </dsp:sp>
    <dsp:sp modelId="{9157E347-AD68-4872-BEE7-256275FF6700}">
      <dsp:nvSpPr>
        <dsp:cNvPr id="0" name=""/>
        <dsp:cNvSpPr/>
      </dsp:nvSpPr>
      <dsp:spPr>
        <a:xfrm>
          <a:off x="1097280" y="1051607"/>
          <a:ext cx="438912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 modelId="{4214A2B5-DB9C-420D-B28F-DDAE3955CC0D}">
      <dsp:nvSpPr>
        <dsp:cNvPr id="0" name=""/>
        <dsp:cNvSpPr/>
      </dsp:nvSpPr>
      <dsp:spPr>
        <a:xfrm>
          <a:off x="1179576" y="1076646"/>
          <a:ext cx="4306824" cy="581439"/>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45720" tIns="45720" rIns="45720" bIns="45720" numCol="1" spcCol="1270" anchor="t" anchorCtr="0">
          <a:noAutofit/>
        </a:bodyPr>
        <a:lstStyle/>
        <a:p>
          <a:pPr lvl="0" algn="just" defTabSz="533400">
            <a:lnSpc>
              <a:spcPct val="90000"/>
            </a:lnSpc>
            <a:spcBef>
              <a:spcPct val="0"/>
            </a:spcBef>
            <a:spcAft>
              <a:spcPct val="35000"/>
            </a:spcAft>
            <a:buNone/>
          </a:pPr>
          <a:r>
            <a:rPr lang="en-ID" sz="1200" kern="1200">
              <a:latin typeface="Times New Roman" panose="02020603050405020304" pitchFamily="18" charset="0"/>
              <a:cs typeface="Times New Roman" panose="02020603050405020304" pitchFamily="18" charset="0"/>
            </a:rPr>
            <a:t>3) Usulan/rekomendasi bagi pelaku ekonomi dan regulator yang meningkatkan efektivitas dan efisiensi kegiatan ekonomi digital syariah</a:t>
          </a:r>
        </a:p>
      </dsp:txBody>
      <dsp:txXfrm>
        <a:off x="1179576" y="1076646"/>
        <a:ext cx="4306824" cy="581439"/>
      </dsp:txXfrm>
    </dsp:sp>
    <dsp:sp modelId="{074CDE3F-A5E4-4EC5-9C1F-CFFCD253B579}">
      <dsp:nvSpPr>
        <dsp:cNvPr id="0" name=""/>
        <dsp:cNvSpPr/>
      </dsp:nvSpPr>
      <dsp:spPr>
        <a:xfrm>
          <a:off x="1097280" y="1658085"/>
          <a:ext cx="4389120" cy="0"/>
        </a:xfrm>
        <a:prstGeom prst="line">
          <a:avLst/>
        </a:prstGeom>
        <a:solidFill>
          <a:schemeClr val="accent1">
            <a:hueOff val="0"/>
            <a:satOff val="0"/>
            <a:lumOff val="0"/>
            <a:alphaOff val="0"/>
          </a:schemeClr>
        </a:solidFill>
        <a:ln w="25400" cap="flat" cmpd="sng" algn="ctr">
          <a:solidFill>
            <a:schemeClr val="accent1">
              <a:tint val="50000"/>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vProcess5">
  <dgm:title val=""/>
  <dgm:desc val=""/>
  <dgm:catLst>
    <dgm:cat type="process" pri="14000"/>
  </dgm:catLst>
  <dgm:sampData>
    <dgm:dataModel>
      <dgm:ptLst>
        <dgm:pt modelId="0" type="doc"/>
        <dgm:pt modelId="1">
          <dgm:prSet phldr="1"/>
        </dgm:pt>
        <dgm:pt modelId="2">
          <dgm:prSet phldr="1"/>
        </dgm:pt>
        <dgm:pt modelId="3">
          <dgm:prSet phldr="1"/>
        </dgm:pt>
      </dgm:ptLst>
      <dgm:cxnLst>
        <dgm:cxn modelId="5" srcId="0" destId="1" srcOrd="0" destOrd="0"/>
        <dgm:cxn modelId="6" srcId="0" destId="2" srcOrd="1" destOrd="0"/>
        <dgm:cxn modelId="7" srcId="0" destId="3" srcOrd="2"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6" srcId="0" destId="1" srcOrd="0" destOrd="0"/>
        <dgm:cxn modelId="7" srcId="0" destId="2" srcOrd="1" destOrd="0"/>
        <dgm:cxn modelId="8" srcId="0" destId="3" srcOrd="2" destOrd="0"/>
        <dgm:cxn modelId="9" srcId="0" destId="4" srcOrd="3" destOrd="0"/>
      </dgm:cxnLst>
      <dgm:bg/>
      <dgm:whole/>
    </dgm:dataModel>
  </dgm:clrData>
  <dgm:layoutNode name="outerComposite">
    <dgm:varLst>
      <dgm:chMax val="5"/>
      <dgm:dir/>
      <dgm:resizeHandles val="exact"/>
    </dgm:varLst>
    <dgm:alg type="composite"/>
    <dgm:shape xmlns:r="http://schemas.openxmlformats.org/officeDocument/2006/relationships" r:blip="">
      <dgm:adjLst/>
    </dgm:shape>
    <dgm:presOf/>
    <dgm:choose name="Name0">
      <dgm:if name="Name1" func="var" arg="dir" op="equ" val="norm">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l" for="ch" forName="TwoNodes_1"/>
          <dgm:constr type="w" for="ch" forName="TwoNodes_2" refType="w" fact="0.85"/>
          <dgm:constr type="h" for="ch" forName="TwoNodes_2" refType="h" fact="0.45"/>
          <dgm:constr type="b" for="ch" forName="TwoNodes_2" refType="h"/>
          <dgm:constr type="r" for="ch" forName="TwoNodes_2" refType="w"/>
          <dgm:constr type="w" for="ch" forName="TwoConn_1-2" refType="h" refFor="ch" refForName="TwoNodes_1" fact="0.65"/>
          <dgm:constr type="h" for="ch" forName="TwoConn_1-2" refType="h" refFor="ch" refForName="TwoNodes_1" fact="0.65"/>
          <dgm:constr type="ctrY" for="ch" forName="TwoConn_1-2" refType="h" fact="0.5"/>
          <dgm:constr type="r" for="ch" forName="TwoConn_1-2" refType="r" refFor="ch" refForName="TwoNodes_1"/>
          <dgm:constr type="r" for="ch" forName="TwoNodes_1_text" refType="l" refFor="ch" refForName="TwoConn_1-2"/>
          <dgm:constr type="rOff" for="ch" forName="TwoNodes_1_text" refType="w" refFor="ch" refForName="TwoConn_1-2" fact="-0.5"/>
          <dgm:constr type="t" for="ch" forName="TwoNodes_1_text" refType="t" refFor="ch" refForName="TwoNodes_1"/>
          <dgm:constr type="b" for="ch" forName="TwoNodes_1_text" refType="b" refFor="ch" refForName="TwoNodes_1"/>
          <dgm:constr type="l" for="ch" forName="TwoNodes_1_text" refType="l" refFor="ch" refForName="TwoNodes_1"/>
          <dgm:constr type="r" for="ch" forName="TwoNodes_2_text" refType="l" refFor="ch" refForName="TwoConn_1-2"/>
          <dgm:constr type="t" for="ch" forName="TwoNodes_2_text" refType="t" refFor="ch" refForName="TwoNodes_2"/>
          <dgm:constr type="b" for="ch" forName="TwoNodes_2_text" refType="b" refFor="ch" refForName="TwoNodes_2"/>
          <dgm:constr type="l" for="ch" forName="TwoNodes_2_text" refType="l" refFor="ch" refForName="TwoNodes_2"/>
          <dgm:constr type="w" for="ch" forName="ThreeNodes_1" refType="w" fact="0.85"/>
          <dgm:constr type="h" for="ch" forName="ThreeNodes_1" refType="h" fact="0.3"/>
          <dgm:constr type="t" for="ch" forName="ThreeNodes_1"/>
          <dgm:constr type="l" for="ch" forName="ThreeNodes_1"/>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r" for="ch" forName="ThreeNodes_3" refType="w"/>
          <dgm:constr type="w" for="ch" forName="ThreeConn_1-2" refType="h" refFor="ch" refForName="ThreeNodes_1" fact="0.65"/>
          <dgm:constr type="h" for="ch" forName="ThreeConn_1-2" refType="h" refFor="ch" refForName="ThreeNodes_1" fact="0.65"/>
          <dgm:constr type="ctrY" for="ch" forName="ThreeConn_1-2" refType="h" fact="0.325"/>
          <dgm:constr type="r" for="ch" forName="ThreeConn_1-2" refType="r"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r" for="ch" forName="ThreeConn_2-3" refType="r" refFor="ch" refForName="ThreeNodes_2"/>
          <dgm:constr type="r" for="ch" forName="ThreeNodes_1_text" refType="l" refFor="ch" refForName="ThreeConn_1-2"/>
          <dgm:constr type="rOff" for="ch" forName="ThreeNodes_1_text" refType="w" refFor="ch" refForName="ThreeConn_1-2" fact="-0.57"/>
          <dgm:constr type="t" for="ch" forName="ThreeNodes_1_text" refType="t" refFor="ch" refForName="ThreeNodes_1"/>
          <dgm:constr type="b" for="ch" forName="ThreeNodes_1_text" refType="b" refFor="ch" refForName="ThreeNodes_1"/>
          <dgm:constr type="l" for="ch" forName="ThreeNodes_1_text" refType="l" refFor="ch" refForName="ThreeNodes_1"/>
          <dgm:constr type="r" for="ch" forName="ThreeNodes_2_text" refType="l" refFor="ch" refForName="ThreeConn_1-2"/>
          <dgm:constr type="t" for="ch" forName="ThreeNodes_2_text" refType="t" refFor="ch" refForName="ThreeNodes_2"/>
          <dgm:constr type="b" for="ch" forName="ThreeNodes_2_text" refType="b" refFor="ch" refForName="ThreeNodes_2"/>
          <dgm:constr type="l" for="ch" forName="ThreeNodes_2_text" refType="l" refFor="ch" refForName="ThreeNodes_2"/>
          <dgm:constr type="r" for="ch" forName="ThreeNodes_3_text" refType="l" refFor="ch" refForName="ThreeConn_2-3"/>
          <dgm:constr type="t" for="ch" forName="ThreeNodes_3_text" refType="t" refFor="ch" refForName="ThreeNodes_3"/>
          <dgm:constr type="b" for="ch" forName="ThreeNodes_3_text" refType="b" refFor="ch" refForName="ThreeNodes_3"/>
          <dgm:constr type="l" for="ch" forName="ThreeNodes_3_text" refType="l" refFor="ch" refForName="ThreeNodes_3"/>
          <dgm:constr type="w" for="ch" forName="FourNodes_1" refType="w" fact="0.8"/>
          <dgm:constr type="h" for="ch" forName="FourNodes_1" refType="h" fact="0.22"/>
          <dgm:constr type="t" for="ch" forName="FourNodes_1"/>
          <dgm:constr type="l" for="ch" forName="FourNodes_1"/>
          <dgm:constr type="w" for="ch" forName="FourNodes_2" refType="w" fact="0.8"/>
          <dgm:constr type="h" for="ch" forName="FourNodes_2" refType="h" fact="0.22"/>
          <dgm:constr type="ctrY" for="ch" forName="FourNodes_2" refType="h" fact="0.37"/>
          <dgm:constr type="ctrX" for="ch" forName="FourNodes_2" refType="w" fact="0.467"/>
          <dgm:constr type="w" for="ch" forName="FourNodes_3" refType="w" fact="0.8"/>
          <dgm:constr type="h" for="ch" forName="FourNodes_3" refType="h" fact="0.22"/>
          <dgm:constr type="ctrY" for="ch" forName="FourNodes_3" refType="h" fact="0.63"/>
          <dgm:constr type="ctrX" for="ch" forName="FourNodes_3" refType="w" fact="0.533"/>
          <dgm:constr type="w" for="ch" forName="FourNodes_4" refType="w" fact="0.8"/>
          <dgm:constr type="h" for="ch" forName="FourNodes_4" refType="h" fact="0.22"/>
          <dgm:constr type="b" for="ch" forName="FourNodes_4" refType="h"/>
          <dgm:constr type="r" for="ch" forName="FourNodes_4" refType="w"/>
          <dgm:constr type="w" for="ch" forName="FourConn_1-2" refType="h" refFor="ch" refForName="FourNodes_1" fact="0.65"/>
          <dgm:constr type="h" for="ch" forName="FourConn_1-2" refType="h" refFor="ch" refForName="FourNodes_1" fact="0.65"/>
          <dgm:constr type="ctrY" for="ch" forName="FourConn_1-2" refType="h" fact="0.24"/>
          <dgm:constr type="r" for="ch" forName="FourConn_1-2" refType="r"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r" for="ch" forName="FourConn_2-3" refType="r"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r" for="ch" forName="FourConn_3-4" refType="r" refFor="ch" refForName="FourNodes_3"/>
          <dgm:constr type="r" for="ch" forName="FourNodes_1_text" refType="l" refFor="ch" refForName="FourConn_1-2"/>
          <dgm:constr type="rOff" for="ch" forName="FourNodes_1_text" refType="w" refFor="ch" refForName="FourConn_1-2" fact="-0.7"/>
          <dgm:constr type="t" for="ch" forName="FourNodes_1_text" refType="t" refFor="ch" refForName="FourNodes_1"/>
          <dgm:constr type="b" for="ch" forName="FourNodes_1_text" refType="b" refFor="ch" refForName="FourNodes_1"/>
          <dgm:constr type="l" for="ch" forName="FourNodes_1_text" refType="l" refFor="ch" refForName="FourNodes_1"/>
          <dgm:constr type="r" for="ch" forName="FourNodes_2_text" refType="l" refFor="ch" refForName="FourConn_1-2"/>
          <dgm:constr type="t" for="ch" forName="FourNodes_2_text" refType="t" refFor="ch" refForName="FourNodes_2"/>
          <dgm:constr type="b" for="ch" forName="FourNodes_2_text" refType="b" refFor="ch" refForName="FourNodes_2"/>
          <dgm:constr type="l" for="ch" forName="FourNodes_2_text" refType="l" refFor="ch" refForName="FourNodes_2"/>
          <dgm:constr type="r" for="ch" forName="FourNodes_3_text" refType="l" refFor="ch" refForName="FourConn_2-3"/>
          <dgm:constr type="t" for="ch" forName="FourNodes_3_text" refType="t" refFor="ch" refForName="FourNodes_3"/>
          <dgm:constr type="b" for="ch" forName="FourNodes_3_text" refType="b" refFor="ch" refForName="FourNodes_3"/>
          <dgm:constr type="l" for="ch" forName="FourNodes_3_text" refType="l" refFor="ch" refForName="FourNodes_3"/>
          <dgm:constr type="r" for="ch" forName="FourNodes_4_text" refType="l" refFor="ch" refForName="FourConn_3-4"/>
          <dgm:constr type="t" for="ch" forName="FourNodes_4_text" refType="t" refFor="ch" refForName="FourNodes_4"/>
          <dgm:constr type="b" for="ch" forName="FourNodes_4_text" refType="b" refFor="ch" refForName="FourNodes_4"/>
          <dgm:constr type="l" for="ch" forName="FourNodes_4_text" refType="l" refFor="ch" refForName="FourNodes_4"/>
          <dgm:constr type="w" for="ch" forName="FiveNodes_1" refType="w" fact="0.77"/>
          <dgm:constr type="h" for="ch" forName="FiveNodes_1" refType="h" fact="0.18"/>
          <dgm:constr type="t" for="ch" forName="FiveNodes_1"/>
          <dgm:constr type="l" for="ch" forName="FiveNodes_1"/>
          <dgm:constr type="w" for="ch" forName="FiveNodes_2" refType="w" fact="0.77"/>
          <dgm:constr type="h" for="ch" forName="FiveNodes_2" refType="h" fact="0.18"/>
          <dgm:constr type="ctrY" for="ch" forName="FiveNodes_2" refType="h" fact="0.295"/>
          <dgm:constr type="ctrX" for="ch" forName="FiveNodes_2" refType="w" fact="0.442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5575"/>
          <dgm:constr type="w" for="ch" forName="FiveNodes_5" refType="w" fact="0.77"/>
          <dgm:constr type="h" for="ch" forName="FiveNodes_5" refType="h" fact="0.18"/>
          <dgm:constr type="b" for="ch" forName="FiveNodes_5" refType="h"/>
          <dgm:constr type="r" for="ch" forName="FiveNodes_5" refType="w"/>
          <dgm:constr type="w" for="ch" forName="FiveConn_1-2" refType="h" refFor="ch" refForName="FiveNodes_1" fact="0.65"/>
          <dgm:constr type="h" for="ch" forName="FiveConn_1-2" refType="h" refFor="ch" refForName="FiveNodes_1" fact="0.65"/>
          <dgm:constr type="ctrY" for="ch" forName="FiveConn_1-2" refType="h" fact="0.19"/>
          <dgm:constr type="r" for="ch" forName="FiveConn_1-2" refType="r"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r" for="ch" forName="FiveConn_2-3" refType="r"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r" for="ch" forName="FiveConn_3-4" refType="r"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r" for="ch" forName="FiveConn_4-5" refType="r" refFor="ch" refForName="FiveNodes_4"/>
          <dgm:constr type="r" for="ch" forName="FiveNodes_1_text" refType="l" refFor="ch" refForName="FiveConn_1-2"/>
          <dgm:constr type="rOff" for="ch" forName="FiveNodes_1_text" refType="w" refFor="ch" refForName="FiveConn_1-2" fact="-0.75"/>
          <dgm:constr type="t" for="ch" forName="FiveNodes_1_text" refType="t" refFor="ch" refForName="FiveNodes_1"/>
          <dgm:constr type="b" for="ch" forName="FiveNodes_1_text" refType="b" refFor="ch" refForName="FiveNodes_1"/>
          <dgm:constr type="l" for="ch" forName="FiveNodes_1_text" refType="l" refFor="ch" refForName="FiveNodes_1"/>
          <dgm:constr type="r" for="ch" forName="FiveNodes_2_text" refType="l" refFor="ch" refForName="FiveConn_1-2"/>
          <dgm:constr type="t" for="ch" forName="FiveNodes_2_text" refType="t" refFor="ch" refForName="FiveNodes_2"/>
          <dgm:constr type="b" for="ch" forName="FiveNodes_2_text" refType="b" refFor="ch" refForName="FiveNodes_2"/>
          <dgm:constr type="l" for="ch" forName="FiveNodes_2_text" refType="l" refFor="ch" refForName="FiveNodes_2"/>
          <dgm:constr type="r" for="ch" forName="FiveNodes_3_text" refType="l" refFor="ch" refForName="FiveConn_2-3"/>
          <dgm:constr type="t" for="ch" forName="FiveNodes_3_text" refType="t" refFor="ch" refForName="FiveNodes_3"/>
          <dgm:constr type="b" for="ch" forName="FiveNodes_3_text" refType="b" refFor="ch" refForName="FiveNodes_3"/>
          <dgm:constr type="l" for="ch" forName="FiveNodes_3_text" refType="l" refFor="ch" refForName="FiveNodes_3"/>
          <dgm:constr type="r" for="ch" forName="FiveNodes_4_text" refType="l" refFor="ch" refForName="FiveConn_3-4"/>
          <dgm:constr type="t" for="ch" forName="FiveNodes_4_text" refType="t" refFor="ch" refForName="FiveNodes_4"/>
          <dgm:constr type="b" for="ch" forName="FiveNodes_4_text" refType="b" refFor="ch" refForName="FiveNodes_4"/>
          <dgm:constr type="l" for="ch" forName="FiveNodes_4_text" refType="l" refFor="ch" refForName="FiveNodes_4"/>
          <dgm:constr type="r" for="ch" forName="FiveNodes_5_text" refType="l" refFor="ch" refForName="FiveConn_4-5"/>
          <dgm:constr type="t" for="ch" forName="FiveNodes_5_text" refType="t" refFor="ch" refForName="FiveNodes_5"/>
          <dgm:constr type="b" for="ch" forName="FiveNodes_5_text" refType="b" refFor="ch" refForName="FiveNodes_5"/>
          <dgm:constr type="l" for="ch" forName="FiveNodes_5_text" refType="l" refFor="ch" refForName="FiveNodes_5"/>
        </dgm:constrLst>
      </dgm:if>
      <dgm:else name="Name2">
        <dgm:constrLst>
          <dgm:constr type="primFontSz" for="ch" ptType="node" op="equ" val="65"/>
          <dgm:constr type="w" for="ch" forName="dummyMaxCanvas" refType="w"/>
          <dgm:constr type="h" for="ch" forName="dummyMaxCanvas" refType="h"/>
          <dgm:constr type="w" for="ch" forName="OneNode_1" refType="w"/>
          <dgm:constr type="h" for="ch" forName="OneNode_1" refType="h" fact="0.5"/>
          <dgm:constr type="ctrY" for="ch" forName="OneNode_1" refType="h" fact="0.5"/>
          <dgm:constr type="w" for="ch" forName="TwoNodes_1" refType="w" fact="0.85"/>
          <dgm:constr type="h" for="ch" forName="TwoNodes_1" refType="h" fact="0.45"/>
          <dgm:constr type="t" for="ch" forName="TwoNodes_1"/>
          <dgm:constr type="r" for="ch" forName="TwoNodes_1" refType="w"/>
          <dgm:constr type="w" for="ch" forName="TwoNodes_2" refType="w" fact="0.85"/>
          <dgm:constr type="h" for="ch" forName="TwoNodes_2" refType="h" fact="0.45"/>
          <dgm:constr type="b" for="ch" forName="TwoNodes_2" refType="h"/>
          <dgm:constr type="l" for="ch" forName="TwoNodes_2"/>
          <dgm:constr type="w" for="ch" forName="TwoConn_1-2" refType="h" refFor="ch" refForName="TwoNodes_1" fact="0.65"/>
          <dgm:constr type="h" for="ch" forName="TwoConn_1-2" refType="h" refFor="ch" refForName="TwoNodes_1" fact="0.65"/>
          <dgm:constr type="ctrY" for="ch" forName="TwoConn_1-2" refType="h" fact="0.5"/>
          <dgm:constr type="l" for="ch" forName="TwoConn_1-2" refType="l" refFor="ch" refForName="TwoNodes_1"/>
          <dgm:constr type="l" for="ch" forName="TwoNodes_1_text" refType="r" refFor="ch" refForName="TwoConn_1-2"/>
          <dgm:constr type="lOff" for="ch" forName="TwoNodes_1_text" refType="w" refFor="ch" refForName="TwoConn_1-2" fact="0.5"/>
          <dgm:constr type="t" for="ch" forName="TwoNodes_1_text" refType="t" refFor="ch" refForName="TwoNodes_1"/>
          <dgm:constr type="b" for="ch" forName="TwoNodes_1_text" refType="b" refFor="ch" refForName="TwoNodes_1"/>
          <dgm:constr type="r" for="ch" forName="TwoNodes_1_text" refType="r" refFor="ch" refForName="TwoNodes_1"/>
          <dgm:constr type="l" for="ch" forName="TwoNodes_2_text" refType="r" refFor="ch" refForName="TwoConn_1-2"/>
          <dgm:constr type="t" for="ch" forName="TwoNodes_2_text" refType="t" refFor="ch" refForName="TwoNodes_2"/>
          <dgm:constr type="b" for="ch" forName="TwoNodes_2_text" refType="b" refFor="ch" refForName="TwoNodes_2"/>
          <dgm:constr type="r" for="ch" forName="TwoNodes_2_text" refType="r" refFor="ch" refForName="TwoNodes_2"/>
          <dgm:constr type="w" for="ch" forName="ThreeNodes_1" refType="w" fact="0.85"/>
          <dgm:constr type="h" for="ch" forName="ThreeNodes_1" refType="h" fact="0.3"/>
          <dgm:constr type="t" for="ch" forName="ThreeNodes_1"/>
          <dgm:constr type="r" for="ch" forName="ThreeNodes_1" refType="w"/>
          <dgm:constr type="w" for="ch" forName="ThreeNodes_2" refType="w" fact="0.85"/>
          <dgm:constr type="h" for="ch" forName="ThreeNodes_2" refType="h" fact="0.3"/>
          <dgm:constr type="ctrY" for="ch" forName="ThreeNodes_2" refType="h" fact="0.5"/>
          <dgm:constr type="ctrX" for="ch" forName="ThreeNodes_2" refType="w" fact="0.5"/>
          <dgm:constr type="w" for="ch" forName="ThreeNodes_3" refType="w" fact="0.85"/>
          <dgm:constr type="h" for="ch" forName="ThreeNodes_3" refType="h" fact="0.3"/>
          <dgm:constr type="b" for="ch" forName="ThreeNodes_3" refType="h"/>
          <dgm:constr type="l" for="ch" forName="ThreeNodes_3"/>
          <dgm:constr type="w" for="ch" forName="ThreeConn_1-2" refType="h" refFor="ch" refForName="ThreeNodes_1" fact="0.65"/>
          <dgm:constr type="h" for="ch" forName="ThreeConn_1-2" refType="h" refFor="ch" refForName="ThreeNodes_1" fact="0.65"/>
          <dgm:constr type="ctrY" for="ch" forName="ThreeConn_1-2" refType="h" fact="0.325"/>
          <dgm:constr type="l" for="ch" forName="ThreeConn_1-2" refType="l" refFor="ch" refForName="ThreeNodes_1"/>
          <dgm:constr type="w" for="ch" forName="ThreeConn_2-3" refType="h" refFor="ch" refForName="ThreeNodes_2" fact="0.65"/>
          <dgm:constr type="h" for="ch" forName="ThreeConn_2-3" refType="h" refFor="ch" refForName="ThreeNodes_2" fact="0.65"/>
          <dgm:constr type="ctrY" for="ch" forName="ThreeConn_2-3" refType="h" fact="0.673"/>
          <dgm:constr type="l" for="ch" forName="ThreeConn_2-3" refType="l" refFor="ch" refForName="ThreeNodes_2"/>
          <dgm:constr type="l" for="ch" forName="ThreeNodes_1_text" refType="r" refFor="ch" refForName="ThreeConn_1-2"/>
          <dgm:constr type="lOff" for="ch" forName="ThreeNodes_1_text" refType="w" refFor="ch" refForName="ThreeConn_1-2" fact="0.55"/>
          <dgm:constr type="t" for="ch" forName="ThreeNodes_1_text" refType="t" refFor="ch" refForName="ThreeNodes_1"/>
          <dgm:constr type="b" for="ch" forName="ThreeNodes_1_text" refType="b" refFor="ch" refForName="ThreeNodes_1"/>
          <dgm:constr type="r" for="ch" forName="ThreeNodes_1_text" refType="r" refFor="ch" refForName="ThreeNodes_1"/>
          <dgm:constr type="l" for="ch" forName="ThreeNodes_2_text" refType="r" refFor="ch" refForName="ThreeConn_1-2"/>
          <dgm:constr type="t" for="ch" forName="ThreeNodes_2_text" refType="t" refFor="ch" refForName="ThreeNodes_2"/>
          <dgm:constr type="b" for="ch" forName="ThreeNodes_2_text" refType="b" refFor="ch" refForName="ThreeNodes_2"/>
          <dgm:constr type="r" for="ch" forName="ThreeNodes_2_text" refType="r" refFor="ch" refForName="ThreeNodes_2"/>
          <dgm:constr type="l" for="ch" forName="ThreeNodes_3_text" refType="r" refFor="ch" refForName="ThreeConn_2-3"/>
          <dgm:constr type="t" for="ch" forName="ThreeNodes_3_text" refType="t" refFor="ch" refForName="ThreeNodes_3"/>
          <dgm:constr type="b" for="ch" forName="ThreeNodes_3_text" refType="b" refFor="ch" refForName="ThreeNodes_3"/>
          <dgm:constr type="r" for="ch" forName="ThreeNodes_3_text" refType="r" refFor="ch" refForName="ThreeNodes_3"/>
          <dgm:constr type="w" for="ch" forName="FourNodes_1" refType="w" fact="0.8"/>
          <dgm:constr type="h" for="ch" forName="FourNodes_1" refType="h" fact="0.22"/>
          <dgm:constr type="t" for="ch" forName="FourNodes_1"/>
          <dgm:constr type="r" for="ch" forName="FourNodes_1" refType="w"/>
          <dgm:constr type="w" for="ch" forName="FourNodes_2" refType="w" fact="0.8"/>
          <dgm:constr type="h" for="ch" forName="FourNodes_2" refType="h" fact="0.22"/>
          <dgm:constr type="ctrY" for="ch" forName="FourNodes_2" refType="h" fact="0.37"/>
          <dgm:constr type="ctrX" for="ch" forName="FourNodes_2" refType="w" fact="0.533"/>
          <dgm:constr type="w" for="ch" forName="FourNodes_3" refType="w" fact="0.8"/>
          <dgm:constr type="h" for="ch" forName="FourNodes_3" refType="h" fact="0.22"/>
          <dgm:constr type="ctrY" for="ch" forName="FourNodes_3" refType="h" fact="0.63"/>
          <dgm:constr type="ctrX" for="ch" forName="FourNodes_3" refType="w" fact="0.467"/>
          <dgm:constr type="w" for="ch" forName="FourNodes_4" refType="w" fact="0.8"/>
          <dgm:constr type="h" for="ch" forName="FourNodes_4" refType="h" fact="0.22"/>
          <dgm:constr type="b" for="ch" forName="FourNodes_4" refType="h"/>
          <dgm:constr type="l" for="ch" forName="FourNodes_4"/>
          <dgm:constr type="w" for="ch" forName="FourConn_1-2" refType="h" refFor="ch" refForName="FourNodes_1" fact="0.65"/>
          <dgm:constr type="h" for="ch" forName="FourConn_1-2" refType="h" refFor="ch" refForName="FourNodes_1" fact="0.65"/>
          <dgm:constr type="ctrY" for="ch" forName="FourConn_1-2" refType="h" fact="0.24"/>
          <dgm:constr type="l" for="ch" forName="FourConn_1-2" refType="l" refFor="ch" refForName="FourNodes_1"/>
          <dgm:constr type="w" for="ch" forName="FourConn_2-3" refType="h" refFor="ch" refForName="FourNodes_2" fact="0.65"/>
          <dgm:constr type="h" for="ch" forName="FourConn_2-3" refType="h" refFor="ch" refForName="FourNodes_2" fact="0.65"/>
          <dgm:constr type="ctrY" for="ch" forName="FourConn_2-3" refType="h" fact="0.5"/>
          <dgm:constr type="l" for="ch" forName="FourConn_2-3" refType="l" refFor="ch" refForName="FourNodes_2"/>
          <dgm:constr type="w" for="ch" forName="FourConn_3-4" refType="h" refFor="ch" refForName="FourNodes_3" fact="0.65"/>
          <dgm:constr type="h" for="ch" forName="FourConn_3-4" refType="h" refFor="ch" refForName="FourNodes_3" fact="0.65"/>
          <dgm:constr type="ctrY" for="ch" forName="FourConn_3-4" refType="h" fact="0.76"/>
          <dgm:constr type="l" for="ch" forName="FourConn_3-4" refType="l" refFor="ch" refForName="FourNodes_3"/>
          <dgm:constr type="l" for="ch" forName="FourNodes_1_text" refType="r" refFor="ch" refForName="FourConn_1-2"/>
          <dgm:constr type="lOff" for="ch" forName="FourNodes_1_text" refType="w" refFor="ch" refForName="FourConn_1-2" fact="0.69"/>
          <dgm:constr type="t" for="ch" forName="FourNodes_1_text" refType="t" refFor="ch" refForName="FourNodes_1"/>
          <dgm:constr type="b" for="ch" forName="FourNodes_1_text" refType="b" refFor="ch" refForName="FourNodes_1"/>
          <dgm:constr type="r" for="ch" forName="FourNodes_1_text" refType="r" refFor="ch" refForName="FourNodes_1"/>
          <dgm:constr type="l" for="ch" forName="FourNodes_2_text" refType="r" refFor="ch" refForName="FourConn_1-2"/>
          <dgm:constr type="t" for="ch" forName="FourNodes_2_text" refType="t" refFor="ch" refForName="FourNodes_2"/>
          <dgm:constr type="b" for="ch" forName="FourNodes_2_text" refType="b" refFor="ch" refForName="FourNodes_2"/>
          <dgm:constr type="r" for="ch" forName="FourNodes_2_text" refType="r" refFor="ch" refForName="FourNodes_2"/>
          <dgm:constr type="l" for="ch" forName="FourNodes_3_text" refType="r" refFor="ch" refForName="FourConn_2-3"/>
          <dgm:constr type="t" for="ch" forName="FourNodes_3_text" refType="t" refFor="ch" refForName="FourNodes_3"/>
          <dgm:constr type="b" for="ch" forName="FourNodes_3_text" refType="b" refFor="ch" refForName="FourNodes_3"/>
          <dgm:constr type="r" for="ch" forName="FourNodes_3_text" refType="r" refFor="ch" refForName="FourNodes_3"/>
          <dgm:constr type="l" for="ch" forName="FourNodes_4_text" refType="r" refFor="ch" refForName="FourConn_3-4"/>
          <dgm:constr type="t" for="ch" forName="FourNodes_4_text" refType="t" refFor="ch" refForName="FourNodes_4"/>
          <dgm:constr type="b" for="ch" forName="FourNodes_4_text" refType="b" refFor="ch" refForName="FourNodes_4"/>
          <dgm:constr type="r" for="ch" forName="FourNodes_4_text" refType="r" refFor="ch" refForName="FourNodes_4"/>
          <dgm:constr type="w" for="ch" forName="FiveNodes_1" refType="w" fact="0.77"/>
          <dgm:constr type="h" for="ch" forName="FiveNodes_1" refType="h" fact="0.18"/>
          <dgm:constr type="t" for="ch" forName="FiveNodes_1"/>
          <dgm:constr type="r" for="ch" forName="FiveNodes_1" refType="w"/>
          <dgm:constr type="w" for="ch" forName="FiveNodes_2" refType="w" fact="0.77"/>
          <dgm:constr type="h" for="ch" forName="FiveNodes_2" refType="h" fact="0.18"/>
          <dgm:constr type="ctrY" for="ch" forName="FiveNodes_2" refType="h" fact="0.295"/>
          <dgm:constr type="ctrX" for="ch" forName="FiveNodes_2" refType="w" fact="0.5575"/>
          <dgm:constr type="w" for="ch" forName="FiveNodes_3" refType="w" fact="0.77"/>
          <dgm:constr type="h" for="ch" forName="FiveNodes_3" refType="h" fact="0.18"/>
          <dgm:constr type="ctrY" for="ch" forName="FiveNodes_3" refType="h" fact="0.5"/>
          <dgm:constr type="ctrX" for="ch" forName="FiveNodes_3" refType="w" fact="0.5"/>
          <dgm:constr type="w" for="ch" forName="FiveNodes_4" refType="w" fact="0.77"/>
          <dgm:constr type="h" for="ch" forName="FiveNodes_4" refType="h" fact="0.18"/>
          <dgm:constr type="ctrY" for="ch" forName="FiveNodes_4" refType="h" fact="0.705"/>
          <dgm:constr type="ctrX" for="ch" forName="FiveNodes_4" refType="w" fact="0.4425"/>
          <dgm:constr type="w" for="ch" forName="FiveNodes_5" refType="w" fact="0.77"/>
          <dgm:constr type="h" for="ch" forName="FiveNodes_5" refType="h" fact="0.18"/>
          <dgm:constr type="b" for="ch" forName="FiveNodes_5" refType="h"/>
          <dgm:constr type="l" for="ch" forName="FiveNodes_5"/>
          <dgm:constr type="w" for="ch" forName="FiveConn_1-2" refType="h" refFor="ch" refForName="FiveNodes_1" fact="0.65"/>
          <dgm:constr type="h" for="ch" forName="FiveConn_1-2" refType="h" refFor="ch" refForName="FiveNodes_1" fact="0.65"/>
          <dgm:constr type="ctrY" for="ch" forName="FiveConn_1-2" refType="h" fact="0.19"/>
          <dgm:constr type="l" for="ch" forName="FiveConn_1-2" refType="l" refFor="ch" refForName="FiveNodes_1"/>
          <dgm:constr type="w" for="ch" forName="FiveConn_2-3" refType="h" refFor="ch" refForName="FiveNodes_2" fact="0.65"/>
          <dgm:constr type="h" for="ch" forName="FiveConn_2-3" refType="h" refFor="ch" refForName="FiveNodes_2" fact="0.65"/>
          <dgm:constr type="ctrY" for="ch" forName="FiveConn_2-3" refType="h" fact="0.395"/>
          <dgm:constr type="l" for="ch" forName="FiveConn_2-3" refType="l" refFor="ch" refForName="FiveNodes_2"/>
          <dgm:constr type="w" for="ch" forName="FiveConn_3-4" refType="h" refFor="ch" refForName="FiveNodes_3" fact="0.65"/>
          <dgm:constr type="h" for="ch" forName="FiveConn_3-4" refType="h" refFor="ch" refForName="FiveNodes_3" fact="0.65"/>
          <dgm:constr type="ctrY" for="ch" forName="FiveConn_3-4" refType="h" fact="0.597"/>
          <dgm:constr type="l" for="ch" forName="FiveConn_3-4" refType="l" refFor="ch" refForName="FiveNodes_3"/>
          <dgm:constr type="w" for="ch" forName="FiveConn_4-5" refType="h" refFor="ch" refForName="FiveNodes_4" fact="0.65"/>
          <dgm:constr type="h" for="ch" forName="FiveConn_4-5" refType="h" refFor="ch" refForName="FiveNodes_4" fact="0.65"/>
          <dgm:constr type="ctrY" for="ch" forName="FiveConn_4-5" refType="h" fact="0.804"/>
          <dgm:constr type="l" for="ch" forName="FiveConn_4-5" refType="l" refFor="ch" refForName="FiveNodes_4"/>
          <dgm:constr type="l" for="ch" forName="FiveNodes_1_text" refType="r" refFor="ch" refForName="FiveConn_1-2"/>
          <dgm:constr type="lOff" for="ch" forName="FiveNodes_1_text" refType="w" refFor="ch" refForName="FiveConn_1-2" fact="0.73"/>
          <dgm:constr type="t" for="ch" forName="FiveNodes_1_text" refType="t" refFor="ch" refForName="FiveNodes_1"/>
          <dgm:constr type="b" for="ch" forName="FiveNodes_1_text" refType="b" refFor="ch" refForName="FiveNodes_1"/>
          <dgm:constr type="r" for="ch" forName="FiveNodes_1_text" refType="r" refFor="ch" refForName="FiveNodes_1"/>
          <dgm:constr type="l" for="ch" forName="FiveNodes_2_text" refType="r" refFor="ch" refForName="FiveConn_1-2"/>
          <dgm:constr type="t" for="ch" forName="FiveNodes_2_text" refType="t" refFor="ch" refForName="FiveNodes_2"/>
          <dgm:constr type="b" for="ch" forName="FiveNodes_2_text" refType="b" refFor="ch" refForName="FiveNodes_2"/>
          <dgm:constr type="r" for="ch" forName="FiveNodes_2_text" refType="r" refFor="ch" refForName="FiveNodes_2"/>
          <dgm:constr type="l" for="ch" forName="FiveNodes_3_text" refType="r" refFor="ch" refForName="FiveConn_2-3"/>
          <dgm:constr type="t" for="ch" forName="FiveNodes_3_text" refType="t" refFor="ch" refForName="FiveNodes_3"/>
          <dgm:constr type="b" for="ch" forName="FiveNodes_3_text" refType="b" refFor="ch" refForName="FiveNodes_3"/>
          <dgm:constr type="r" for="ch" forName="FiveNodes_3_text" refType="r" refFor="ch" refForName="FiveNodes_3"/>
          <dgm:constr type="l" for="ch" forName="FiveNodes_4_text" refType="r" refFor="ch" refForName="FiveConn_3-4"/>
          <dgm:constr type="t" for="ch" forName="FiveNodes_4_text" refType="t" refFor="ch" refForName="FiveNodes_4"/>
          <dgm:constr type="b" for="ch" forName="FiveNodes_4_text" refType="b" refFor="ch" refForName="FiveNodes_4"/>
          <dgm:constr type="r" for="ch" forName="FiveNodes_4_text" refType="r" refFor="ch" refForName="FiveNodes_4"/>
          <dgm:constr type="l" for="ch" forName="FiveNodes_5_text" refType="r" refFor="ch" refForName="FiveConn_4-5"/>
          <dgm:constr type="t" for="ch" forName="FiveNodes_5_text" refType="t" refFor="ch" refForName="FiveNodes_5"/>
          <dgm:constr type="b" for="ch" forName="FiveNodes_5_text" refType="b" refFor="ch" refForName="FiveNodes_5"/>
          <dgm:constr type="r" for="ch" forName="FiveNodes_5_text" refType="r" refFor="ch" refForName="FiveNodes_5"/>
        </dgm:constrLst>
      </dgm:else>
    </dgm:choose>
    <dgm:ruleLst/>
    <dgm:layoutNode name="dummyMaxCanvas">
      <dgm:varLst/>
      <dgm:alg type="sp"/>
      <dgm:shape xmlns:r="http://schemas.openxmlformats.org/officeDocument/2006/relationships" r:blip="">
        <dgm:adjLst/>
      </dgm:shape>
      <dgm:presOf/>
      <dgm:constrLst/>
      <dgm:ruleLst/>
    </dgm:layoutNode>
    <dgm:choose name="Name3">
      <dgm:if name="Name4" axis="ch" ptType="node" func="cnt" op="equ" val="1">
        <dgm:layoutNode name="OneNode_1">
          <dgm:varLst>
            <dgm:bulletEnabled val="1"/>
          </dgm:varLst>
          <dgm:alg type="tx"/>
          <dgm:shape xmlns:r="http://schemas.openxmlformats.org/officeDocument/2006/relationships" type="roundRect" r:blip="">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5">
        <dgm:choose name="Name6">
          <dgm:if name="Name7" axis="ch" ptType="node" func="cnt" op="equ" val="2">
            <dgm:layoutNode name="Two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wo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wo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wo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wo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8">
            <dgm:choose name="Name9">
              <dgm:if name="Name10" axis="ch" ptType="node" func="cnt" op="equ" val="3">
                <dgm:layoutNode name="Thre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Thre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Thre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Thre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Thre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Thre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1">
                <dgm:choose name="Name12">
                  <dgm:if name="Name13" axis="ch" ptType="node" func="cnt" op="equ" val="4">
                    <dgm:layoutNode name="Four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our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our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our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our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our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our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4">
                    <dgm:choose name="Name15">
                      <dgm:if name="Name16" axis="ch" ptType="node" func="cnt" op="gte" val="5">
                        <dgm:layoutNode name="FiveNodes_1">
                          <dgm:varLst>
                            <dgm:bulletEnabled val="1"/>
                          </dgm:varLst>
                          <dgm:alg type="sp"/>
                          <dgm:shape xmlns:r="http://schemas.openxmlformats.org/officeDocument/2006/relationships" type="roundRect" r:blip="">
                            <dgm:adjLst>
                              <dgm:adj idx="1" val="0.1"/>
                            </dgm:adjLst>
                          </dgm:shape>
                          <dgm:presOf axis="ch desOrSelf" ptType="node node" st="1 1" cnt="1 0"/>
                          <dgm:constrLst/>
                          <dgm:ruleLst/>
                        </dgm:layoutNode>
                        <dgm:layoutNode name="FiveNodes_2">
                          <dgm:varLst>
                            <dgm:bulletEnabled val="1"/>
                          </dgm:varLst>
                          <dgm:alg type="sp"/>
                          <dgm:shape xmlns:r="http://schemas.openxmlformats.org/officeDocument/2006/relationships" type="roundRect" r:blip="">
                            <dgm:adjLst>
                              <dgm:adj idx="1" val="0.1"/>
                            </dgm:adjLst>
                          </dgm:shape>
                          <dgm:presOf axis="ch desOrSelf" ptType="node node" st="2 1" cnt="1 0"/>
                          <dgm:constrLst/>
                          <dgm:ruleLst/>
                        </dgm:layoutNode>
                        <dgm:layoutNode name="FiveNodes_3">
                          <dgm:varLst>
                            <dgm:bulletEnabled val="1"/>
                          </dgm:varLst>
                          <dgm:alg type="sp"/>
                          <dgm:shape xmlns:r="http://schemas.openxmlformats.org/officeDocument/2006/relationships" type="roundRect" r:blip="">
                            <dgm:adjLst>
                              <dgm:adj idx="1" val="0.1"/>
                            </dgm:adjLst>
                          </dgm:shape>
                          <dgm:presOf axis="ch desOrSelf" ptType="node node" st="3 1" cnt="1 0"/>
                          <dgm:constrLst/>
                          <dgm:ruleLst/>
                        </dgm:layoutNode>
                        <dgm:layoutNode name="FiveNodes_4">
                          <dgm:varLst>
                            <dgm:bulletEnabled val="1"/>
                          </dgm:varLst>
                          <dgm:alg type="sp"/>
                          <dgm:shape xmlns:r="http://schemas.openxmlformats.org/officeDocument/2006/relationships" type="roundRect" r:blip="">
                            <dgm:adjLst>
                              <dgm:adj idx="1" val="0.1"/>
                            </dgm:adjLst>
                          </dgm:shape>
                          <dgm:presOf axis="ch desOrSelf" ptType="node node" st="4 1" cnt="1 0"/>
                          <dgm:constrLst/>
                          <dgm:ruleLst/>
                        </dgm:layoutNode>
                        <dgm:layoutNode name="FiveNodes_5">
                          <dgm:varLst>
                            <dgm:bulletEnabled val="1"/>
                          </dgm:varLst>
                          <dgm:alg type="sp"/>
                          <dgm:shape xmlns:r="http://schemas.openxmlformats.org/officeDocument/2006/relationships" type="roundRect" r:blip="">
                            <dgm:adjLst>
                              <dgm:adj idx="1" val="0.1"/>
                            </dgm:adjLst>
                          </dgm:shape>
                          <dgm:presOf axis="ch desOrSelf" ptType="node node" st="5 1" cnt="1 0"/>
                          <dgm:constrLst/>
                          <dgm:ruleLst/>
                        </dgm:layoutNode>
                        <dgm:layoutNode name="FiveConn_1-2" styleLbl="fgAccFollowNode1">
                          <dgm:varLst>
                            <dgm:bulletEnabled val="1"/>
                          </dgm:varLst>
                          <dgm:alg type="tx"/>
                          <dgm:shape xmlns:r="http://schemas.openxmlformats.org/officeDocument/2006/relationships" type="downArrow" r:blip="">
                            <dgm:adjLst>
                              <dgm:adj idx="1" val="0.55"/>
                              <dgm:adj idx="2" val="0.45"/>
                            </dgm:adjLst>
                          </dgm:shape>
                          <dgm:presOf axis="ch" ptType="sibTrans"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2-3" styleLbl="fgAccFollowNode1">
                          <dgm:varLst>
                            <dgm:bulletEnabled val="1"/>
                          </dgm:varLst>
                          <dgm:alg type="tx"/>
                          <dgm:shape xmlns:r="http://schemas.openxmlformats.org/officeDocument/2006/relationships" type="downArrow" r:blip="">
                            <dgm:adjLst>
                              <dgm:adj idx="1" val="0.55"/>
                              <dgm:adj idx="2" val="0.45"/>
                            </dgm:adjLst>
                          </dgm:shape>
                          <dgm:presOf axis="ch" ptType="sibTrans" st="2"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3-4" styleLbl="fgAccFollowNode1">
                          <dgm:varLst>
                            <dgm:bulletEnabled val="1"/>
                          </dgm:varLst>
                          <dgm:alg type="tx"/>
                          <dgm:shape xmlns:r="http://schemas.openxmlformats.org/officeDocument/2006/relationships" type="downArrow" r:blip="">
                            <dgm:adjLst>
                              <dgm:adj idx="1" val="0.55"/>
                              <dgm:adj idx="2" val="0.45"/>
                            </dgm:adjLst>
                          </dgm:shape>
                          <dgm:presOf axis="ch" ptType="sibTrans" st="3"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Conn_4-5" styleLbl="fgAccFollowNode1">
                          <dgm:varLst>
                            <dgm:bulletEnabled val="1"/>
                          </dgm:varLst>
                          <dgm:alg type="tx"/>
                          <dgm:shape xmlns:r="http://schemas.openxmlformats.org/officeDocument/2006/relationships" type="downArrow" r:blip="">
                            <dgm:adjLst>
                              <dgm:adj idx="1" val="0.55"/>
                              <dgm:adj idx="2" val="0.45"/>
                            </dgm:adjLst>
                          </dgm:shape>
                          <dgm:presOf axis="ch" ptType="sibTrans" st="4" cnt="1"/>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layoutNode name="FiveNodes_1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1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2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2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3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3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4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4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FiveNodes_5_text">
                          <dgm:varLst>
                            <dgm:bulletEnabled val="1"/>
                          </dgm:varLst>
                          <dgm:alg type="tx">
                            <dgm:param type="parTxLTRAlign" val="l"/>
                            <dgm:param type="txAnchorVertCh" val="mid"/>
                          </dgm:alg>
                          <dgm:shape xmlns:r="http://schemas.openxmlformats.org/officeDocument/2006/relationships" type="roundRect" r:blip="" hideGeom="1">
                            <dgm:adjLst>
                              <dgm:adj idx="1" val="0.1"/>
                            </dgm:adjLst>
                          </dgm:shape>
                          <dgm:presOf axis="ch desOrSelf" ptType="node node" st="5 1" cnt="1 0"/>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if>
                      <dgm:else name="Name17"/>
                    </dgm:choose>
                  </dgm:else>
                </dgm:choose>
              </dgm:else>
            </dgm:choose>
          </dgm:else>
        </dgm:choose>
      </dgm:else>
    </dgm:choose>
  </dgm:layoutNode>
</dgm:layoutDef>
</file>

<file path=word/diagrams/layout2.xml><?xml version="1.0" encoding="utf-8"?>
<dgm:layoutDef xmlns:dgm="http://schemas.openxmlformats.org/drawingml/2006/diagram" xmlns:a="http://schemas.openxmlformats.org/drawingml/2006/main" uniqueId="urn:microsoft.com/office/officeart/2008/layout/LinedList">
  <dgm:title val=""/>
  <dgm:desc val=""/>
  <dgm:catLst>
    <dgm:cat type="hierarchy" pri="8000"/>
    <dgm:cat type="list" pri="25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styleData>
  <dgm:clrData>
    <dgm:dataModel>
      <dgm:ptLst>
        <dgm:pt modelId="0" type="doc"/>
        <dgm:pt modelId="1">
          <dgm:prSet phldr="1"/>
        </dgm:pt>
        <dgm:pt modelId="11">
          <dgm:prSet phldr="1"/>
        </dgm:pt>
        <dgm:pt modelId="12">
          <dgm:prSet phldr="1"/>
        </dgm:pt>
      </dgm:ptLst>
      <dgm:cxnLst>
        <dgm:cxn modelId="2" srcId="0" destId="1" srcOrd="0" destOrd="0"/>
        <dgm:cxn modelId="3" srcId="1" destId="11" srcOrd="0" destOrd="0"/>
        <dgm:cxn modelId="4" srcId="1" destId="12" srcOrd="1" destOrd="0"/>
      </dgm:cxnLst>
      <dgm:bg/>
      <dgm:whole/>
    </dgm:dataModel>
  </dgm:clrData>
  <dgm:layoutNode name="vert0">
    <dgm:varLst>
      <dgm:dir/>
      <dgm:animOne val="branch"/>
      <dgm:animLvl val="lvl"/>
    </dgm:varLst>
    <dgm:choose name="Name0">
      <dgm:if name="Name1" func="var" arg="dir" op="equ" val="norm">
        <dgm:alg type="lin">
          <dgm:param type="linDir" val="fromT"/>
          <dgm:param type="nodeHorzAlign" val="l"/>
        </dgm:alg>
      </dgm:if>
      <dgm:else name="Name2">
        <dgm:alg type="lin">
          <dgm:param type="linDir" val="fromT"/>
          <dgm:param type="nodeHorzAlign" val="r"/>
        </dgm:alg>
      </dgm:else>
    </dgm:choose>
    <dgm:shape xmlns:r="http://schemas.openxmlformats.org/officeDocument/2006/relationships" r:blip="">
      <dgm:adjLst/>
    </dgm:shape>
    <dgm:presOf/>
    <dgm:constrLst>
      <dgm:constr type="w" for="ch" forName="horz1" refType="w"/>
      <dgm:constr type="h" for="ch" forName="horz1" refType="h"/>
      <dgm:constr type="h" for="des" forName="vert1" refType="h"/>
      <dgm:constr type="h" for="des" forName="tx1" refType="h"/>
      <dgm:constr type="h" for="des" forName="horz2" refType="h"/>
      <dgm:constr type="h" for="des" forName="vert2" refType="h"/>
      <dgm:constr type="h" for="des" forName="horz3" refType="h"/>
      <dgm:constr type="h" for="des" forName="vert3" refType="h"/>
      <dgm:constr type="h" for="des" forName="horz4" refType="h"/>
      <dgm:constr type="h" for="des" ptType="node" refType="h"/>
      <dgm:constr type="primFontSz" for="des" forName="tx1" op="equ" val="65"/>
      <dgm:constr type="primFontSz" for="des" forName="tx2" op="equ" val="65"/>
      <dgm:constr type="primFontSz" for="des" forName="tx3" op="equ" val="65"/>
      <dgm:constr type="primFontSz" for="des" forName="tx4" op="equ" val="65"/>
      <dgm:constr type="w" for="des" forName="thickLine" refType="w"/>
      <dgm:constr type="h" for="des" forName="thickLine"/>
      <dgm:constr type="h" for="des" forName="thinLine1"/>
      <dgm:constr type="h" for="des" forName="thinLine2b"/>
      <dgm:constr type="h" for="des" forName="thinLine3"/>
      <dgm:constr type="h" for="des" forName="vertSpace2a" refType="h" fact="0.05"/>
      <dgm:constr type="h" for="des" forName="vertSpace2b" refType="h" refFor="des" refForName="vertSpace2a"/>
    </dgm:constrLst>
    <dgm:forEach name="Name3" axis="ch" ptType="node">
      <dgm:layoutNode name="thickLine" styleLbl="alignNode1">
        <dgm:alg type="sp"/>
        <dgm:shape xmlns:r="http://schemas.openxmlformats.org/officeDocument/2006/relationships" type="line" r:blip="">
          <dgm:adjLst/>
        </dgm:shape>
        <dgm:presOf/>
      </dgm:layoutNode>
      <dgm:layoutNode name="horz1">
        <dgm:choose name="Name4">
          <dgm:if name="Name5" func="var" arg="dir" op="equ" val="norm">
            <dgm:alg type="lin">
              <dgm:param type="linDir" val="fromL"/>
              <dgm:param type="nodeVertAlign" val="t"/>
            </dgm:alg>
          </dgm:if>
          <dgm:else name="Name6">
            <dgm:alg type="lin">
              <dgm:param type="linDir" val="fromR"/>
              <dgm:param type="nodeVertAlign" val="t"/>
            </dgm:alg>
          </dgm:else>
        </dgm:choose>
        <dgm:shape xmlns:r="http://schemas.openxmlformats.org/officeDocument/2006/relationships" r:blip="">
          <dgm:adjLst/>
        </dgm:shape>
        <dgm:presOf/>
        <dgm:choose name="Name7">
          <dgm:if name="Name8" axis="root des" func="maxDepth" op="equ" val="1">
            <dgm:constrLst>
              <dgm:constr type="w" for="ch" forName="tx1" refType="w"/>
            </dgm:constrLst>
          </dgm:if>
          <dgm:if name="Name9" axis="root des" func="maxDepth" op="equ" val="2">
            <dgm:constrLst>
              <dgm:constr type="w" for="ch" forName="tx1" refType="w" fact="0.2"/>
              <dgm:constr type="w" for="des" forName="tx2" refType="w" fact="0.785"/>
              <dgm:constr type="w" for="des" forName="horzSpace2" refType="w" fact="0.015"/>
              <dgm:constr type="w" for="des" forName="thinLine2b" refType="w" fact="0.8"/>
            </dgm:constrLst>
          </dgm:if>
          <dgm:if name="Name10" axis="root des" func="maxDepth" op="equ" val="3">
            <dgm:constrLst>
              <dgm:constr type="w" for="ch" forName="tx1" refType="w" fact="0.2"/>
              <dgm:constr type="w" for="des" forName="tx2" refType="w" fact="0.385"/>
              <dgm:constr type="w" for="des" forName="tx3" refType="w" fact="0.385"/>
              <dgm:constr type="w" for="des" forName="horzSpace2" refType="w" fact="0.015"/>
              <dgm:constr type="w" for="des" forName="horzSpace3" refType="w" fact="0.015"/>
              <dgm:constr type="w" for="des" forName="thinLine2b" refType="w" fact="0.8"/>
              <dgm:constr type="w" for="des" forName="thinLine3" refType="w" fact="0.385"/>
            </dgm:constrLst>
          </dgm:if>
          <dgm:if name="Name11" axis="root des" func="maxDepth" op="gte" val="4">
            <dgm:constrLst>
              <dgm:constr type="w" for="ch" forName="tx1" refType="w" fact="0.2"/>
              <dgm:constr type="w" for="des" forName="tx2" refType="w" fact="0.2516"/>
              <dgm:constr type="w" for="des" forName="tx3" refType="w" fact="0.2516"/>
              <dgm:constr type="w" for="des" forName="tx4" refType="w" fact="0.2516"/>
              <dgm:constr type="w" for="des" forName="horzSpace2" refType="w" fact="0.015"/>
              <dgm:constr type="w" for="des" forName="horzSpace3" refType="w" fact="0.015"/>
              <dgm:constr type="w" for="des" forName="horzSpace4" refType="w" fact="0.015"/>
              <dgm:constr type="w" for="des" forName="thinLine2b" refType="w" fact="0.8"/>
              <dgm:constr type="w" for="des" forName="thinLine3" refType="w" fact="0.5332"/>
            </dgm:constrLst>
          </dgm:if>
          <dgm:else name="Name12"/>
        </dgm:choose>
        <dgm:layoutNode name="tx1"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1">
          <dgm:choose name="Name13">
            <dgm:if name="Name14" func="var" arg="dir" op="equ" val="norm">
              <dgm:alg type="lin">
                <dgm:param type="linDir" val="fromT"/>
                <dgm:param type="nodeHorzAlign" val="l"/>
              </dgm:alg>
            </dgm:if>
            <dgm:else name="Name15">
              <dgm:alg type="lin">
                <dgm:param type="linDir" val="fromT"/>
                <dgm:param type="nodeHorzAlign" val="r"/>
              </dgm:alg>
            </dgm:else>
          </dgm:choose>
          <dgm:shape xmlns:r="http://schemas.openxmlformats.org/officeDocument/2006/relationships" r:blip="">
            <dgm:adjLst/>
          </dgm:shape>
          <dgm:presOf/>
          <dgm:forEach name="Name16" axis="ch" ptType="node">
            <dgm:choose name="Name17">
              <dgm:if name="Name18" axis="self" ptType="node" func="pos" op="equ" val="1">
                <dgm:layoutNode name="vertSpace2a">
                  <dgm:alg type="sp"/>
                  <dgm:shape xmlns:r="http://schemas.openxmlformats.org/officeDocument/2006/relationships" r:blip="">
                    <dgm:adjLst/>
                  </dgm:shape>
                  <dgm:presOf/>
                </dgm:layoutNode>
              </dgm:if>
              <dgm:else name="Name19"/>
            </dgm:choose>
            <dgm:layoutNode name="horz2">
              <dgm:choose name="Name20">
                <dgm:if name="Name21" func="var" arg="dir" op="equ" val="norm">
                  <dgm:alg type="lin">
                    <dgm:param type="linDir" val="fromL"/>
                    <dgm:param type="nodeVertAlign" val="t"/>
                  </dgm:alg>
                </dgm:if>
                <dgm:else name="Name22">
                  <dgm:alg type="lin">
                    <dgm:param type="linDir" val="fromR"/>
                    <dgm:param type="nodeVertAlign" val="t"/>
                  </dgm:alg>
                </dgm:else>
              </dgm:choose>
              <dgm:shape xmlns:r="http://schemas.openxmlformats.org/officeDocument/2006/relationships" r:blip="">
                <dgm:adjLst/>
              </dgm:shape>
              <dgm:presOf/>
              <dgm:layoutNode name="horzSpace2">
                <dgm:alg type="sp"/>
                <dgm:shape xmlns:r="http://schemas.openxmlformats.org/officeDocument/2006/relationships" r:blip="">
                  <dgm:adjLst/>
                </dgm:shape>
                <dgm:presOf/>
              </dgm:layoutNode>
              <dgm:layoutNode name="tx2"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2">
                <dgm:choose name="Name23">
                  <dgm:if name="Name24" func="var" arg="dir" op="equ" val="norm">
                    <dgm:alg type="lin">
                      <dgm:param type="linDir" val="fromT"/>
                      <dgm:param type="nodeHorzAlign" val="l"/>
                    </dgm:alg>
                  </dgm:if>
                  <dgm:else name="Name25">
                    <dgm:alg type="lin">
                      <dgm:param type="linDir" val="fromT"/>
                      <dgm:param type="nodeHorzAlign" val="r"/>
                    </dgm:alg>
                  </dgm:else>
                </dgm:choose>
                <dgm:shape xmlns:r="http://schemas.openxmlformats.org/officeDocument/2006/relationships" r:blip="">
                  <dgm:adjLst/>
                </dgm:shape>
                <dgm:presOf/>
                <dgm:forEach name="Name26" axis="ch" ptType="node">
                  <dgm:layoutNode name="horz3">
                    <dgm:choose name="Name27">
                      <dgm:if name="Name28" func="var" arg="dir" op="equ" val="norm">
                        <dgm:alg type="lin">
                          <dgm:param type="linDir" val="fromL"/>
                          <dgm:param type="nodeVertAlign" val="t"/>
                        </dgm:alg>
                      </dgm:if>
                      <dgm:else name="Name29">
                        <dgm:alg type="lin">
                          <dgm:param type="linDir" val="fromR"/>
                          <dgm:param type="nodeVertAlign" val="t"/>
                        </dgm:alg>
                      </dgm:else>
                    </dgm:choose>
                    <dgm:shape xmlns:r="http://schemas.openxmlformats.org/officeDocument/2006/relationships" r:blip="">
                      <dgm:adjLst/>
                    </dgm:shape>
                    <dgm:presOf/>
                    <dgm:layoutNode name="horzSpace3">
                      <dgm:alg type="sp"/>
                      <dgm:shape xmlns:r="http://schemas.openxmlformats.org/officeDocument/2006/relationships" r:blip="">
                        <dgm:adjLst/>
                      </dgm:shape>
                      <dgm:presOf/>
                    </dgm:layoutNode>
                    <dgm:layoutNode name="tx3" styleLbl="revTx">
                      <dgm:alg type="tx">
                        <dgm:param type="parTxLTRAlign" val="l"/>
                        <dgm:param type="parTxRTLAlign" val="r"/>
                        <dgm:param type="txAnchorVert" val="t"/>
                      </dgm:alg>
                      <dgm:shape xmlns:r="http://schemas.openxmlformats.org/officeDocument/2006/relationships" type="rect" r:blip="">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vert3">
                      <dgm:choose name="Name30">
                        <dgm:if name="Name31" func="var" arg="dir" op="equ" val="norm">
                          <dgm:alg type="lin">
                            <dgm:param type="linDir" val="fromT"/>
                            <dgm:param type="nodeHorzAlign" val="l"/>
                          </dgm:alg>
                        </dgm:if>
                        <dgm:else name="Name32">
                          <dgm:alg type="lin">
                            <dgm:param type="linDir" val="fromT"/>
                            <dgm:param type="nodeHorzAlign" val="r"/>
                          </dgm:alg>
                        </dgm:else>
                      </dgm:choose>
                      <dgm:shape xmlns:r="http://schemas.openxmlformats.org/officeDocument/2006/relationships" r:blip="">
                        <dgm:adjLst/>
                      </dgm:shape>
                      <dgm:presOf/>
                      <dgm:forEach name="Name33" axis="ch" ptType="node">
                        <dgm:layoutNode name="horz4">
                          <dgm:choose name="Name34">
                            <dgm:if name="Name35" func="var" arg="dir" op="equ" val="norm">
                              <dgm:alg type="lin">
                                <dgm:param type="linDir" val="fromL"/>
                                <dgm:param type="nodeVertAlign" val="t"/>
                              </dgm:alg>
                            </dgm:if>
                            <dgm:else name="Name36">
                              <dgm:alg type="lin">
                                <dgm:param type="linDir" val="fromR"/>
                                <dgm:param type="nodeVertAlign" val="t"/>
                              </dgm:alg>
                            </dgm:else>
                          </dgm:choose>
                          <dgm:shape xmlns:r="http://schemas.openxmlformats.org/officeDocument/2006/relationships" r:blip="">
                            <dgm:adjLst/>
                          </dgm:shape>
                          <dgm:presOf/>
                          <dgm:layoutNode name="horzSpace4">
                            <dgm:alg type="sp"/>
                            <dgm:shape xmlns:r="http://schemas.openxmlformats.org/officeDocument/2006/relationships" r:blip="">
                              <dgm:adjLst/>
                            </dgm:shape>
                            <dgm:presOf/>
                          </dgm:layoutNode>
                          <dgm:layoutNode name="tx4" styleLbl="revTx">
                            <dgm:varLst>
                              <dgm:bulletEnabled val="1"/>
                            </dgm:varLst>
                            <dgm:alg type="tx">
                              <dgm:param type="parTxLTRAlign" val="l"/>
                              <dgm:param type="parTxRTLAlign" val="r"/>
                              <dgm:param type="txAnchorVert" val="t"/>
                            </dgm:alg>
                            <dgm:shape xmlns:r="http://schemas.openxmlformats.org/officeDocument/2006/relationships" type="rect" r:blip="">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dgm:layoutNode>
                  </dgm:layoutNode>
                  <dgm:forEach name="Name37" axis="followSib" ptType="sibTrans" cnt="1">
                    <dgm:layoutNode name="thinLine3" styleLbl="callout">
                      <dgm:alg type="sp"/>
                      <dgm:shape xmlns:r="http://schemas.openxmlformats.org/officeDocument/2006/relationships" type="line" r:blip="">
                        <dgm:adjLst/>
                      </dgm:shape>
                      <dgm:presOf/>
                    </dgm:layoutNode>
                  </dgm:forEach>
                </dgm:forEach>
              </dgm:layoutNode>
            </dgm:layoutNode>
            <dgm:layoutNode name="thinLine2b" styleLbl="callout">
              <dgm:alg type="sp"/>
              <dgm:shape xmlns:r="http://schemas.openxmlformats.org/officeDocument/2006/relationships" type="line" r:blip="">
                <dgm:adjLst/>
              </dgm:shape>
              <dgm:presOf/>
            </dgm:layoutNode>
            <dgm:layoutNode name="vertSpace2b">
              <dgm:alg type="sp"/>
              <dgm:shape xmlns:r="http://schemas.openxmlformats.org/officeDocument/2006/relationships" r:blip="">
                <dgm:adjLst/>
              </dgm:shape>
              <dgm:presOf/>
            </dgm:layoutNode>
          </dgm:forEach>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84C082-EF80-41D1-B62C-59F697811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6</Pages>
  <Words>1965</Words>
  <Characters>11207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user</cp:lastModifiedBy>
  <cp:revision>8</cp:revision>
  <dcterms:created xsi:type="dcterms:W3CDTF">2026-03-27T21:42:00Z</dcterms:created>
  <dcterms:modified xsi:type="dcterms:W3CDTF">2026-03-31T02:15:00Z</dcterms:modified>
</cp:coreProperties>
</file>