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EF24B5" w14:textId="77777777" w:rsidR="008516B3" w:rsidRPr="003C02F3" w:rsidRDefault="00EC58D4" w:rsidP="00EC58D4">
      <w:pPr>
        <w:pStyle w:val="Isian"/>
        <w:spacing w:before="120"/>
        <w:rPr>
          <w:rFonts w:cs="Calibri"/>
          <w:b/>
          <w:bCs/>
          <w:lang w:val="en-US"/>
        </w:rPr>
      </w:pPr>
      <w:r w:rsidRPr="00EC58D4">
        <w:rPr>
          <w:rFonts w:cs="Calibri"/>
          <w:b/>
          <w:bCs/>
          <w:noProof/>
          <w:color w:val="000000" w:themeColor="text1"/>
          <w:lang w:val="en-US" w:eastAsia="en-US"/>
        </w:rPr>
        <w:drawing>
          <wp:anchor distT="0" distB="0" distL="114300" distR="114300" simplePos="0" relativeHeight="251658240" behindDoc="0" locked="0" layoutInCell="1" allowOverlap="1" wp14:anchorId="784C45A8" wp14:editId="21193E89">
            <wp:simplePos x="0" y="0"/>
            <wp:positionH relativeFrom="column">
              <wp:posOffset>0</wp:posOffset>
            </wp:positionH>
            <wp:positionV relativeFrom="paragraph">
              <wp:posOffset>0</wp:posOffset>
            </wp:positionV>
            <wp:extent cx="745200" cy="745200"/>
            <wp:effectExtent l="0" t="0" r="0" b="0"/>
            <wp:wrapSquare wrapText="bothSides"/>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745200" cy="745200"/>
                    </a:xfrm>
                    <a:prstGeom prst="rect">
                      <a:avLst/>
                    </a:prstGeom>
                  </pic:spPr>
                </pic:pic>
              </a:graphicData>
            </a:graphic>
            <wp14:sizeRelH relativeFrom="margin">
              <wp14:pctWidth>0</wp14:pctWidth>
            </wp14:sizeRelH>
            <wp14:sizeRelV relativeFrom="margin">
              <wp14:pctHeight>0</wp14:pctHeight>
            </wp14:sizeRelV>
          </wp:anchor>
        </w:drawing>
      </w:r>
      <w:r w:rsidR="008516B3">
        <w:rPr>
          <w:rFonts w:cs="Calibri"/>
          <w:b/>
          <w:bCs/>
          <w:color w:val="000000" w:themeColor="text1"/>
        </w:rPr>
        <w:t>ISIAN</w:t>
      </w:r>
      <w:r>
        <w:rPr>
          <w:rFonts w:cs="Calibri"/>
          <w:b/>
          <w:bCs/>
          <w:color w:val="000000" w:themeColor="text1"/>
        </w:rPr>
        <w:t xml:space="preserve"> </w:t>
      </w:r>
      <w:r w:rsidR="0016705F">
        <w:rPr>
          <w:rFonts w:cs="Calibri"/>
          <w:b/>
          <w:bCs/>
          <w:color w:val="000000" w:themeColor="text1"/>
        </w:rPr>
        <w:t xml:space="preserve">SUBSTANSI </w:t>
      </w:r>
      <w:r>
        <w:rPr>
          <w:rFonts w:cs="Calibri"/>
          <w:b/>
          <w:bCs/>
          <w:color w:val="000000" w:themeColor="text1"/>
        </w:rPr>
        <w:t>PROPOSAL</w:t>
      </w:r>
      <w:r w:rsidR="008516B3" w:rsidRPr="003C02F3">
        <w:rPr>
          <w:rFonts w:cs="Calibri"/>
          <w:b/>
          <w:bCs/>
          <w:color w:val="000000" w:themeColor="text1"/>
        </w:rPr>
        <w:t xml:space="preserve"> </w:t>
      </w:r>
      <w:r w:rsidR="008516B3">
        <w:rPr>
          <w:rFonts w:cs="Calibri"/>
          <w:b/>
          <w:bCs/>
          <w:w w:val="95"/>
          <w:lang w:val="en-US"/>
        </w:rPr>
        <w:t xml:space="preserve">PENELITIAN </w:t>
      </w:r>
    </w:p>
    <w:p w14:paraId="46602BB7" w14:textId="77777777" w:rsidR="008516B3" w:rsidRPr="0016705F" w:rsidRDefault="008516B3" w:rsidP="008516B3">
      <w:pPr>
        <w:pStyle w:val="Isian"/>
        <w:rPr>
          <w:i/>
          <w:sz w:val="20"/>
          <w:szCs w:val="20"/>
        </w:rPr>
      </w:pPr>
      <w:r w:rsidRPr="0016705F">
        <w:rPr>
          <w:i/>
          <w:sz w:val="20"/>
          <w:szCs w:val="20"/>
        </w:rPr>
        <w:t>Petunjuk:</w:t>
      </w:r>
      <w:r w:rsidR="00EC58D4" w:rsidRPr="0016705F">
        <w:rPr>
          <w:i/>
          <w:sz w:val="20"/>
          <w:szCs w:val="20"/>
        </w:rPr>
        <w:t xml:space="preserve"> </w:t>
      </w:r>
      <w:r w:rsidRPr="0016705F">
        <w:rPr>
          <w:i/>
          <w:sz w:val="20"/>
          <w:szCs w:val="20"/>
        </w:rPr>
        <w:t>Pengusul hanya diperkenankan mengisi di tempat yang telah disediakan sesuai dengan petunjuk pengisian dan tidak diperkenankan melakukan modifikasi template atau penghapusan di setiap bagian.</w:t>
      </w:r>
    </w:p>
    <w:p w14:paraId="7279E95D" w14:textId="77777777" w:rsidR="008516B3" w:rsidRDefault="00EC58D4" w:rsidP="0018240D">
      <w:pPr>
        <w:spacing w:before="120" w:after="0" w:line="240" w:lineRule="auto"/>
        <w:rPr>
          <w:rFonts w:ascii="Times New Roman" w:hAnsi="Times New Roman"/>
          <w:sz w:val="24"/>
        </w:rPr>
      </w:pPr>
      <w:r w:rsidRPr="00F22F8C">
        <w:rPr>
          <w:noProof/>
        </w:rPr>
        <mc:AlternateContent>
          <mc:Choice Requires="wps">
            <w:drawing>
              <wp:anchor distT="0" distB="0" distL="114300" distR="114300" simplePos="0" relativeHeight="251660288" behindDoc="0" locked="0" layoutInCell="1" allowOverlap="1" wp14:anchorId="6080D506" wp14:editId="49793D6B">
                <wp:simplePos x="0" y="0"/>
                <wp:positionH relativeFrom="column">
                  <wp:posOffset>71755</wp:posOffset>
                </wp:positionH>
                <wp:positionV relativeFrom="paragraph">
                  <wp:posOffset>100965</wp:posOffset>
                </wp:positionV>
                <wp:extent cx="5812155" cy="51435"/>
                <wp:effectExtent l="0" t="0" r="36195" b="24765"/>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12155" cy="5143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200D72F" id="Straight Connector 39"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5pt,7.95pt" to="463.3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" strokecolor="windowText" strokeweight="1.5pt">
                <v:stroke joinstyle="miter"/>
                <o:lock v:ext="edit" shapetype="f"/>
              </v:line>
            </w:pict>
          </mc:Fallback>
        </mc:AlternateContent>
      </w:r>
    </w:p>
    <w:p w14:paraId="49FA857A" w14:textId="3127FB63" w:rsidR="008516B3" w:rsidRPr="00D32AD0" w:rsidRDefault="008516B3" w:rsidP="00EA6B03">
      <w:pPr>
        <w:framePr w:w="9263" w:h="431" w:hSpace="187" w:wrap="around" w:vAnchor="text" w:hAnchor="page" w:x="1494" w:y="429"/>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rPr>
      </w:pPr>
      <w:r>
        <w:rPr>
          <w:rFonts w:ascii="Times New Roman" w:hAnsi="Times New Roman"/>
          <w:sz w:val="24"/>
        </w:rPr>
        <w:t>Tuliskan judul penelitian</w:t>
      </w:r>
      <w:r w:rsidR="00203642">
        <w:rPr>
          <w:rFonts w:ascii="Times New Roman" w:hAnsi="Times New Roman"/>
          <w:sz w:val="24"/>
        </w:rPr>
        <w:t>.</w:t>
      </w:r>
    </w:p>
    <w:p w14:paraId="2ADF7A5B" w14:textId="77777777" w:rsidR="0018240D" w:rsidRPr="00E84401" w:rsidRDefault="0093106B" w:rsidP="0018240D">
      <w:pPr>
        <w:spacing w:before="120" w:after="0" w:line="240" w:lineRule="auto"/>
        <w:rPr>
          <w:rFonts w:ascii="Times New Roman" w:hAnsi="Times New Roman"/>
          <w:b/>
          <w:sz w:val="24"/>
        </w:rPr>
      </w:pPr>
      <w:r w:rsidRPr="00E84401">
        <w:rPr>
          <w:rFonts w:ascii="Times New Roman" w:hAnsi="Times New Roman"/>
          <w:b/>
          <w:sz w:val="24"/>
        </w:rPr>
        <w:t xml:space="preserve">JUDUL </w:t>
      </w:r>
    </w:p>
    <w:p w14:paraId="5A65B126" w14:textId="7242D970" w:rsidR="00D32AD0" w:rsidRPr="00DD0D05" w:rsidRDefault="00DD0D05" w:rsidP="00D95145">
      <w:pPr>
        <w:spacing w:before="120" w:after="0" w:line="240" w:lineRule="auto"/>
        <w:jc w:val="both"/>
        <w:rPr>
          <w:rFonts w:ascii="Times New Roman" w:hAnsi="Times New Roman"/>
          <w:sz w:val="24"/>
          <w:szCs w:val="24"/>
        </w:rPr>
      </w:pPr>
      <w:permStart w:id="1971131055" w:edGrp="everyone"/>
      <w:r w:rsidRPr="00DD0D05">
        <w:rPr>
          <w:rFonts w:ascii="Times New Roman" w:eastAsia="Google Sans" w:hAnsi="Times New Roman"/>
          <w:color w:val="1F1F1F"/>
          <w:sz w:val="24"/>
          <w:szCs w:val="24"/>
        </w:rPr>
        <w:t xml:space="preserve">Determinan Partisipasi Pemodal pada </w:t>
      </w:r>
      <w:r w:rsidRPr="00DD0D05">
        <w:rPr>
          <w:rFonts w:ascii="Times New Roman" w:eastAsia="Google Sans" w:hAnsi="Times New Roman"/>
          <w:i/>
          <w:iCs/>
          <w:color w:val="1F1F1F"/>
          <w:sz w:val="24"/>
          <w:szCs w:val="24"/>
        </w:rPr>
        <w:t>Securities Crowdfunding</w:t>
      </w:r>
      <w:r w:rsidRPr="00DD0D05">
        <w:rPr>
          <w:rFonts w:ascii="Times New Roman" w:eastAsia="Google Sans" w:hAnsi="Times New Roman"/>
          <w:color w:val="1F1F1F"/>
          <w:sz w:val="24"/>
          <w:szCs w:val="24"/>
        </w:rPr>
        <w:t xml:space="preserve"> Syariah: Efek Moderasi Kebijakan Moneter (BI-Rate) (Studi Empiris Proyek Sukuk pada Platform Shafiq.id Periode 2022-2025)</w:t>
      </w:r>
      <w:r w:rsidR="00EA6B03" w:rsidRPr="00DD0D05">
        <w:rPr>
          <w:rFonts w:ascii="Times New Roman" w:hAnsi="Times New Roman"/>
          <w:sz w:val="24"/>
          <w:szCs w:val="24"/>
        </w:rPr>
        <w:t>.</w:t>
      </w:r>
    </w:p>
    <w:permEnd w:id="1971131055"/>
    <w:p w14:paraId="0A49F293" w14:textId="77777777" w:rsidR="0093106B" w:rsidRDefault="0093106B" w:rsidP="0018240D">
      <w:pPr>
        <w:spacing w:before="120" w:after="0" w:line="240" w:lineRule="auto"/>
        <w:rPr>
          <w:rFonts w:ascii="Times New Roman" w:hAnsi="Times New Roman"/>
          <w:sz w:val="24"/>
        </w:rPr>
      </w:pPr>
    </w:p>
    <w:p w14:paraId="51EB96DE" w14:textId="77777777" w:rsidR="00EA6B03" w:rsidRPr="00E84401" w:rsidRDefault="00EA6B03" w:rsidP="0018240D">
      <w:pPr>
        <w:spacing w:before="120" w:after="0" w:line="240" w:lineRule="auto"/>
        <w:rPr>
          <w:rFonts w:ascii="Times New Roman" w:hAnsi="Times New Roman"/>
          <w:b/>
          <w:sz w:val="24"/>
        </w:rPr>
      </w:pPr>
      <w:r w:rsidRPr="00E84401">
        <w:rPr>
          <w:rFonts w:ascii="Times New Roman" w:hAnsi="Times New Roman"/>
          <w:b/>
          <w:sz w:val="24"/>
        </w:rPr>
        <w:t>RINGKASAN</w:t>
      </w:r>
    </w:p>
    <w:p w14:paraId="56079598" w14:textId="77777777" w:rsidR="0093106B" w:rsidRPr="00EA6B03" w:rsidRDefault="002B3E86" w:rsidP="0093106B">
      <w:pPr>
        <w:framePr w:w="9263" w:h="691" w:hSpace="187" w:wrap="around" w:vAnchor="text" w:hAnchor="page" w:x="1474" w:y="165"/>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szCs w:val="24"/>
        </w:rPr>
      </w:pPr>
      <w:r>
        <w:rPr>
          <w:rFonts w:ascii="Times New Roman" w:hAnsi="Times New Roman"/>
          <w:sz w:val="24"/>
          <w:szCs w:val="24"/>
        </w:rPr>
        <w:t>Isian r</w:t>
      </w:r>
      <w:r w:rsidR="00EA6B03" w:rsidRPr="00EA6B03">
        <w:rPr>
          <w:rFonts w:ascii="Times New Roman" w:hAnsi="Times New Roman"/>
          <w:sz w:val="24"/>
          <w:szCs w:val="24"/>
        </w:rPr>
        <w:t>ingkasan</w:t>
      </w:r>
      <w:r w:rsidR="00EA6B03" w:rsidRPr="00EA6B03">
        <w:rPr>
          <w:rFonts w:ascii="Times New Roman" w:hAnsi="Times New Roman"/>
          <w:spacing w:val="-14"/>
          <w:sz w:val="24"/>
          <w:szCs w:val="24"/>
        </w:rPr>
        <w:t xml:space="preserve"> </w:t>
      </w:r>
      <w:r w:rsidR="00EA6B03" w:rsidRPr="00EA6B03">
        <w:rPr>
          <w:rFonts w:ascii="Times New Roman" w:hAnsi="Times New Roman"/>
          <w:sz w:val="24"/>
          <w:szCs w:val="24"/>
        </w:rPr>
        <w:t>penelitian</w:t>
      </w:r>
      <w:r w:rsidR="00EA6B03" w:rsidRPr="00EA6B03">
        <w:rPr>
          <w:rFonts w:ascii="Times New Roman" w:hAnsi="Times New Roman"/>
          <w:spacing w:val="-14"/>
          <w:sz w:val="24"/>
          <w:szCs w:val="24"/>
        </w:rPr>
        <w:t xml:space="preserve"> </w:t>
      </w:r>
      <w:r w:rsidR="00EA6B03" w:rsidRPr="00EA6B03">
        <w:rPr>
          <w:rFonts w:ascii="Times New Roman" w:hAnsi="Times New Roman"/>
          <w:sz w:val="24"/>
          <w:szCs w:val="24"/>
        </w:rPr>
        <w:t>tidak</w:t>
      </w:r>
      <w:r w:rsidR="00EA6B03" w:rsidRPr="00EA6B03">
        <w:rPr>
          <w:rFonts w:ascii="Times New Roman" w:hAnsi="Times New Roman"/>
          <w:spacing w:val="-5"/>
          <w:sz w:val="24"/>
          <w:szCs w:val="24"/>
        </w:rPr>
        <w:t xml:space="preserve"> </w:t>
      </w:r>
      <w:r w:rsidR="00EA6B03" w:rsidRPr="00EA6B03">
        <w:rPr>
          <w:rFonts w:ascii="Times New Roman" w:hAnsi="Times New Roman"/>
          <w:spacing w:val="-3"/>
          <w:sz w:val="24"/>
          <w:szCs w:val="24"/>
        </w:rPr>
        <w:t>lebih</w:t>
      </w:r>
      <w:r w:rsidR="00EA6B03" w:rsidRPr="00EA6B03">
        <w:rPr>
          <w:rFonts w:ascii="Times New Roman" w:hAnsi="Times New Roman"/>
          <w:spacing w:val="-14"/>
          <w:sz w:val="24"/>
          <w:szCs w:val="24"/>
        </w:rPr>
        <w:t xml:space="preserve"> </w:t>
      </w:r>
      <w:r w:rsidR="00EA6B03" w:rsidRPr="00EA6B03">
        <w:rPr>
          <w:rFonts w:ascii="Times New Roman" w:hAnsi="Times New Roman"/>
          <w:sz w:val="24"/>
          <w:szCs w:val="24"/>
        </w:rPr>
        <w:t>dari</w:t>
      </w:r>
      <w:r w:rsidR="00EA6B03" w:rsidRPr="00EA6B03">
        <w:rPr>
          <w:rFonts w:ascii="Times New Roman" w:hAnsi="Times New Roman"/>
          <w:spacing w:val="-19"/>
          <w:sz w:val="24"/>
          <w:szCs w:val="24"/>
        </w:rPr>
        <w:t xml:space="preserve"> </w:t>
      </w:r>
      <w:r w:rsidR="00EA6B03" w:rsidRPr="00EA6B03">
        <w:rPr>
          <w:rFonts w:ascii="Times New Roman" w:hAnsi="Times New Roman"/>
          <w:sz w:val="24"/>
          <w:szCs w:val="24"/>
        </w:rPr>
        <w:t>300</w:t>
      </w:r>
      <w:r w:rsidR="00EA6B03" w:rsidRPr="00EA6B03">
        <w:rPr>
          <w:rFonts w:ascii="Times New Roman" w:hAnsi="Times New Roman"/>
          <w:spacing w:val="-10"/>
          <w:sz w:val="24"/>
          <w:szCs w:val="24"/>
        </w:rPr>
        <w:t xml:space="preserve"> </w:t>
      </w:r>
      <w:r w:rsidR="00EA6B03" w:rsidRPr="00EA6B03">
        <w:rPr>
          <w:rFonts w:ascii="Times New Roman" w:hAnsi="Times New Roman"/>
          <w:sz w:val="24"/>
          <w:szCs w:val="24"/>
        </w:rPr>
        <w:t>kata</w:t>
      </w:r>
      <w:r w:rsidR="00EA6B03" w:rsidRPr="00EA6B03">
        <w:rPr>
          <w:rFonts w:ascii="Times New Roman" w:hAnsi="Times New Roman"/>
          <w:spacing w:val="-15"/>
          <w:sz w:val="24"/>
          <w:szCs w:val="24"/>
        </w:rPr>
        <w:t xml:space="preserve"> yang</w:t>
      </w:r>
      <w:r w:rsidR="00EA6B03" w:rsidRPr="00EA6B03">
        <w:rPr>
          <w:rFonts w:ascii="Times New Roman" w:hAnsi="Times New Roman"/>
          <w:sz w:val="24"/>
          <w:szCs w:val="24"/>
        </w:rPr>
        <w:t xml:space="preserve"> berisi urgensi, tujuan, </w:t>
      </w:r>
      <w:r>
        <w:rPr>
          <w:rFonts w:ascii="Times New Roman" w:hAnsi="Times New Roman"/>
          <w:sz w:val="24"/>
          <w:szCs w:val="24"/>
        </w:rPr>
        <w:t xml:space="preserve">metode, </w:t>
      </w:r>
      <w:r w:rsidR="00EA6B03" w:rsidRPr="00EA6B03">
        <w:rPr>
          <w:rFonts w:ascii="Times New Roman" w:hAnsi="Times New Roman"/>
          <w:sz w:val="24"/>
          <w:szCs w:val="24"/>
        </w:rPr>
        <w:t>dan luaran yang ditargetkan.</w:t>
      </w:r>
      <w:r w:rsidR="0093106B" w:rsidRPr="00EA6B03">
        <w:rPr>
          <w:rFonts w:ascii="Times New Roman" w:hAnsi="Times New Roman"/>
          <w:sz w:val="24"/>
          <w:szCs w:val="24"/>
        </w:rPr>
        <w:t xml:space="preserve"> </w:t>
      </w:r>
    </w:p>
    <w:p w14:paraId="7C02C4FA" w14:textId="786AF264" w:rsidR="0093106B" w:rsidRPr="009E7AF1" w:rsidRDefault="009E7AF1" w:rsidP="00201DFE">
      <w:pPr>
        <w:pBdr>
          <w:top w:val="nil"/>
          <w:left w:val="nil"/>
          <w:bottom w:val="nil"/>
          <w:right w:val="nil"/>
          <w:between w:val="nil"/>
        </w:pBdr>
        <w:spacing w:line="240" w:lineRule="auto"/>
        <w:jc w:val="both"/>
        <w:rPr>
          <w:rFonts w:ascii="Times New Roman" w:eastAsia="Google Sans" w:hAnsi="Times New Roman"/>
          <w:color w:val="1F1F1F"/>
          <w:sz w:val="24"/>
          <w:szCs w:val="24"/>
        </w:rPr>
      </w:pPr>
      <w:permStart w:id="493947497" w:edGrp="everyone"/>
      <w:r w:rsidRPr="009E7AF1">
        <w:rPr>
          <w:rFonts w:ascii="Times New Roman" w:eastAsia="Google Sans" w:hAnsi="Times New Roman"/>
          <w:color w:val="1F1F1F"/>
          <w:sz w:val="24"/>
          <w:szCs w:val="24"/>
        </w:rPr>
        <w:t xml:space="preserve">Perkembangan instrumen keuangan digital syariah di Indonesia mengalami eskalasi yang signifikan, salah satunya melalui skema </w:t>
      </w:r>
      <w:r w:rsidRPr="009E7AF1">
        <w:rPr>
          <w:rFonts w:ascii="Times New Roman" w:eastAsia="Google Sans" w:hAnsi="Times New Roman"/>
          <w:i/>
          <w:iCs/>
          <w:color w:val="1F1F1F"/>
          <w:sz w:val="24"/>
          <w:szCs w:val="24"/>
        </w:rPr>
        <w:t>Securities Crowdfunding</w:t>
      </w:r>
      <w:r w:rsidRPr="009E7AF1">
        <w:rPr>
          <w:rFonts w:ascii="Times New Roman" w:eastAsia="Google Sans" w:hAnsi="Times New Roman"/>
          <w:color w:val="1F1F1F"/>
          <w:sz w:val="24"/>
          <w:szCs w:val="24"/>
        </w:rPr>
        <w:t xml:space="preserve"> (SCF) Syariah. Keberhasilan penerbitan sukuk melalui SCF sangat bergantung pada jumlah partisipasi pemodal. Berbagai faktor fundamental penawaran seperti tingkat </w:t>
      </w:r>
      <w:r w:rsidRPr="009E7AF1">
        <w:rPr>
          <w:rFonts w:ascii="Times New Roman" w:eastAsia="Google Sans" w:hAnsi="Times New Roman"/>
          <w:i/>
          <w:iCs/>
          <w:color w:val="1F1F1F"/>
          <w:sz w:val="24"/>
          <w:szCs w:val="24"/>
        </w:rPr>
        <w:t>Return on Investment</w:t>
      </w:r>
      <w:r w:rsidRPr="009E7AF1">
        <w:rPr>
          <w:rFonts w:ascii="Times New Roman" w:eastAsia="Google Sans" w:hAnsi="Times New Roman"/>
          <w:color w:val="1F1F1F"/>
          <w:sz w:val="24"/>
          <w:szCs w:val="24"/>
        </w:rPr>
        <w:t xml:space="preserve"> (ROI), Tenor Sukuk, dan Nilai Pendanaan diyakini menjadi determinan utama dalam menarik minat pemodal. Selain itu, kondisi makroekonomi yang direpresen</w:t>
      </w:r>
      <w:bookmarkStart w:id="0" w:name="_GoBack"/>
      <w:bookmarkEnd w:id="0"/>
      <w:r w:rsidRPr="009E7AF1">
        <w:rPr>
          <w:rFonts w:ascii="Times New Roman" w:eastAsia="Google Sans" w:hAnsi="Times New Roman"/>
          <w:color w:val="1F1F1F"/>
          <w:sz w:val="24"/>
          <w:szCs w:val="24"/>
        </w:rPr>
        <w:t xml:space="preserve">tasikan oleh suku bunga acuan (BI-Rate) dapat memengaruhi </w:t>
      </w:r>
      <w:r w:rsidRPr="009E7AF1">
        <w:rPr>
          <w:rFonts w:ascii="Times New Roman" w:eastAsia="Google Sans" w:hAnsi="Times New Roman"/>
          <w:i/>
          <w:iCs/>
          <w:color w:val="1F1F1F"/>
          <w:sz w:val="24"/>
          <w:szCs w:val="24"/>
        </w:rPr>
        <w:t>opportunity cost</w:t>
      </w:r>
      <w:r w:rsidRPr="009E7AF1">
        <w:rPr>
          <w:rFonts w:ascii="Times New Roman" w:eastAsia="Google Sans" w:hAnsi="Times New Roman"/>
          <w:color w:val="1F1F1F"/>
          <w:sz w:val="24"/>
          <w:szCs w:val="24"/>
        </w:rPr>
        <w:t xml:space="preserve"> investor dan memoderasi keputusan pendanaan mereka. Penelitian ini bertujuan untuk menganalisis pengaruh tingkat ROI, tenor sukuk, dan nilai pendanaan terhadap jumlah partisipasi pemodal, serta menguji peran BI-Rate sebagai variabel moderasi pada platform SCF Syariah Shafiq.id periode 2022-2025. Metode penelitian yang diterapkan adalah kuantitatif dengan menggunakan data sekunder yang diekstraksi dari prospektus dan laporan pendanaan di situs resmi shafiq.id, serta data historis BI-Rate dari Bank Indonesia. Analisis data dilakukan menggunakan pendekatan </w:t>
      </w:r>
      <w:r w:rsidRPr="009E7AF1">
        <w:rPr>
          <w:rFonts w:ascii="Times New Roman" w:eastAsia="Google Sans" w:hAnsi="Times New Roman"/>
          <w:i/>
          <w:iCs/>
          <w:color w:val="1F1F1F"/>
          <w:sz w:val="24"/>
          <w:szCs w:val="24"/>
        </w:rPr>
        <w:t>Partial Least Squares Structural Equation Modeling</w:t>
      </w:r>
      <w:r w:rsidRPr="009E7AF1">
        <w:rPr>
          <w:rFonts w:ascii="Times New Roman" w:eastAsia="Google Sans" w:hAnsi="Times New Roman"/>
          <w:color w:val="1F1F1F"/>
          <w:sz w:val="24"/>
          <w:szCs w:val="24"/>
        </w:rPr>
        <w:t xml:space="preserve"> (PLS-SEM) dengan perangkat lunak SmartPLS untuk menguji pengaruh langsung dan efek interaksi moderasi. Hasil dari penelitian ini diharapkan dapat memberikan implikasi strategis bagi penyelenggara SCF Syariah dan pelaku UMKM (penerbit) dalam merancang struktur penawaran sukuk yang adaptif terhadap fluktuasi kondisi makroekonomi guna memaksimalkan partisipasi pemodal.</w:t>
      </w:r>
    </w:p>
    <w:permEnd w:id="493947497"/>
    <w:p w14:paraId="114BA615" w14:textId="77777777" w:rsidR="00EA6B03" w:rsidRDefault="00EA6B03" w:rsidP="00776C3D">
      <w:pPr>
        <w:spacing w:after="0" w:line="240" w:lineRule="auto"/>
        <w:rPr>
          <w:rFonts w:ascii="Times New Roman" w:hAnsi="Times New Roman"/>
          <w:sz w:val="24"/>
        </w:rPr>
      </w:pPr>
    </w:p>
    <w:p w14:paraId="1E2F1F77" w14:textId="77777777" w:rsidR="00EA6B03" w:rsidRPr="00D32AD0" w:rsidRDefault="001A2D6E" w:rsidP="00EA6B03">
      <w:pPr>
        <w:framePr w:w="9295" w:h="377" w:hSpace="187" w:wrap="around" w:vAnchor="text" w:hAnchor="page" w:x="1504" w:y="415"/>
        <w:pBdr>
          <w:top w:val="single" w:sz="6" w:space="1" w:color="auto"/>
          <w:left w:val="single" w:sz="6" w:space="1" w:color="auto"/>
          <w:bottom w:val="single" w:sz="6" w:space="1" w:color="auto"/>
          <w:right w:val="single" w:sz="6" w:space="1" w:color="auto"/>
        </w:pBdr>
        <w:spacing w:after="0" w:line="240" w:lineRule="auto"/>
        <w:rPr>
          <w:rFonts w:ascii="Times New Roman" w:hAnsi="Times New Roman"/>
          <w:sz w:val="24"/>
        </w:rPr>
      </w:pPr>
      <w:r>
        <w:rPr>
          <w:rFonts w:ascii="Times New Roman" w:hAnsi="Times New Roman"/>
          <w:sz w:val="24"/>
        </w:rPr>
        <w:t>Isian k</w:t>
      </w:r>
      <w:r w:rsidR="00EA6B03">
        <w:rPr>
          <w:rFonts w:ascii="Times New Roman" w:hAnsi="Times New Roman"/>
          <w:sz w:val="24"/>
        </w:rPr>
        <w:t>ata kunci maksimal 5 kata</w:t>
      </w:r>
      <w:r>
        <w:rPr>
          <w:rFonts w:ascii="Times New Roman" w:hAnsi="Times New Roman"/>
          <w:sz w:val="24"/>
        </w:rPr>
        <w:t xml:space="preserve"> yang dipisahkan dengan tanda titik koma (;)</w:t>
      </w:r>
    </w:p>
    <w:p w14:paraId="10D6D5AD" w14:textId="77777777" w:rsidR="00D32AD0" w:rsidRPr="00E84401" w:rsidRDefault="00EA6B03" w:rsidP="00776C3D">
      <w:pPr>
        <w:spacing w:after="0" w:line="240" w:lineRule="auto"/>
        <w:rPr>
          <w:rFonts w:ascii="Times New Roman" w:hAnsi="Times New Roman"/>
          <w:b/>
          <w:sz w:val="24"/>
        </w:rPr>
      </w:pPr>
      <w:r w:rsidRPr="00E84401">
        <w:rPr>
          <w:rFonts w:ascii="Times New Roman" w:hAnsi="Times New Roman"/>
          <w:b/>
          <w:sz w:val="24"/>
        </w:rPr>
        <w:t>KATA KUNCI</w:t>
      </w:r>
    </w:p>
    <w:p w14:paraId="658BAFD4" w14:textId="77777777" w:rsidR="006B0A00" w:rsidRPr="006B0A00" w:rsidRDefault="006B0A00" w:rsidP="006B0A00">
      <w:pPr>
        <w:pBdr>
          <w:top w:val="nil"/>
          <w:left w:val="nil"/>
          <w:bottom w:val="nil"/>
          <w:right w:val="nil"/>
          <w:between w:val="nil"/>
        </w:pBdr>
        <w:spacing w:line="275" w:lineRule="auto"/>
        <w:jc w:val="both"/>
        <w:rPr>
          <w:rFonts w:ascii="Times New Roman" w:eastAsia="Google Sans" w:hAnsi="Times New Roman"/>
          <w:color w:val="1F1F1F"/>
          <w:sz w:val="24"/>
          <w:szCs w:val="24"/>
        </w:rPr>
      </w:pPr>
      <w:permStart w:id="722612931" w:edGrp="everyone"/>
      <w:r w:rsidRPr="006B0A00">
        <w:rPr>
          <w:rFonts w:ascii="Times New Roman" w:eastAsia="Google Sans" w:hAnsi="Times New Roman"/>
          <w:i/>
          <w:color w:val="1F1F1F"/>
          <w:sz w:val="24"/>
          <w:szCs w:val="24"/>
        </w:rPr>
        <w:t>securities_crowdfunding</w:t>
      </w:r>
      <w:r w:rsidRPr="006B0A00">
        <w:rPr>
          <w:rFonts w:ascii="Times New Roman" w:eastAsia="Google Sans" w:hAnsi="Times New Roman"/>
          <w:color w:val="1F1F1F"/>
          <w:sz w:val="24"/>
          <w:szCs w:val="24"/>
        </w:rPr>
        <w:t xml:space="preserve">; partisipasi_pemodal; </w:t>
      </w:r>
      <w:r w:rsidRPr="006B0A00">
        <w:rPr>
          <w:rFonts w:ascii="Times New Roman" w:eastAsia="Google Sans" w:hAnsi="Times New Roman"/>
          <w:i/>
          <w:color w:val="1F1F1F"/>
          <w:sz w:val="24"/>
          <w:szCs w:val="24"/>
        </w:rPr>
        <w:t>return_on_investment;</w:t>
      </w:r>
      <w:r w:rsidRPr="006B0A00">
        <w:rPr>
          <w:rFonts w:ascii="Times New Roman" w:eastAsia="Google Sans" w:hAnsi="Times New Roman"/>
          <w:color w:val="1F1F1F"/>
          <w:sz w:val="24"/>
          <w:szCs w:val="24"/>
        </w:rPr>
        <w:t xml:space="preserve"> BI_</w:t>
      </w:r>
      <w:r w:rsidRPr="006B0A00">
        <w:rPr>
          <w:rFonts w:ascii="Times New Roman" w:eastAsia="Google Sans" w:hAnsi="Times New Roman"/>
          <w:i/>
          <w:color w:val="1F1F1F"/>
          <w:sz w:val="24"/>
          <w:szCs w:val="24"/>
        </w:rPr>
        <w:t>rate</w:t>
      </w:r>
    </w:p>
    <w:permEnd w:id="722612931"/>
    <w:p w14:paraId="727F2271" w14:textId="77777777" w:rsidR="00A55C16" w:rsidRDefault="00A55C16" w:rsidP="00776C3D">
      <w:pPr>
        <w:spacing w:before="120" w:after="0" w:line="240" w:lineRule="auto"/>
        <w:rPr>
          <w:rFonts w:ascii="Times New Roman" w:hAnsi="Times New Roman"/>
          <w:sz w:val="24"/>
        </w:rPr>
      </w:pPr>
    </w:p>
    <w:p w14:paraId="1259491B" w14:textId="77777777" w:rsidR="00E84401" w:rsidRPr="00417689" w:rsidRDefault="00E84401" w:rsidP="00E84401">
      <w:pPr>
        <w:framePr w:w="9246" w:h="914" w:hSpace="187" w:wrap="around" w:vAnchor="text" w:hAnchor="page" w:x="1514" w:y="509"/>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szCs w:val="24"/>
        </w:rPr>
      </w:pPr>
      <w:r w:rsidRPr="00417689">
        <w:rPr>
          <w:rFonts w:ascii="Times New Roman" w:hAnsi="Times New Roman"/>
          <w:sz w:val="24"/>
          <w:szCs w:val="24"/>
        </w:rPr>
        <w:lastRenderedPageBreak/>
        <w:t>Pendahuluan penelitian tidak lebih dari 1000 kata yang terdiri dari:</w:t>
      </w:r>
    </w:p>
    <w:p w14:paraId="0656549F" w14:textId="77777777" w:rsidR="00E84401" w:rsidRPr="00417689" w:rsidRDefault="00E84401" w:rsidP="00E84401">
      <w:pPr>
        <w:pStyle w:val="ListParagraph"/>
        <w:framePr w:w="9246" w:h="914" w:hSpace="187" w:wrap="around" w:vAnchor="text" w:hAnchor="page" w:x="1514" w:y="509"/>
        <w:numPr>
          <w:ilvl w:val="0"/>
          <w:numId w:val="3"/>
        </w:numPr>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szCs w:val="24"/>
        </w:rPr>
      </w:pPr>
      <w:r w:rsidRPr="00417689">
        <w:rPr>
          <w:rFonts w:ascii="Times New Roman" w:hAnsi="Times New Roman"/>
          <w:sz w:val="24"/>
          <w:szCs w:val="24"/>
        </w:rPr>
        <w:t>Latar belakang dan rumusan permasalahan yang akan diteliti</w:t>
      </w:r>
    </w:p>
    <w:p w14:paraId="38F91A00" w14:textId="77777777" w:rsidR="00E84401" w:rsidRPr="00417689" w:rsidRDefault="00E84401" w:rsidP="00E84401">
      <w:pPr>
        <w:pStyle w:val="ListParagraph"/>
        <w:framePr w:w="9246" w:h="914" w:hSpace="187" w:wrap="around" w:vAnchor="text" w:hAnchor="page" w:x="1514" w:y="509"/>
        <w:numPr>
          <w:ilvl w:val="0"/>
          <w:numId w:val="3"/>
        </w:numPr>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szCs w:val="24"/>
        </w:rPr>
      </w:pPr>
      <w:r w:rsidRPr="00417689">
        <w:rPr>
          <w:rFonts w:ascii="Times New Roman" w:hAnsi="Times New Roman"/>
          <w:sz w:val="24"/>
          <w:szCs w:val="24"/>
        </w:rPr>
        <w:t>Pendekatan pemecahan masalah</w:t>
      </w:r>
    </w:p>
    <w:p w14:paraId="47673B5B" w14:textId="77777777" w:rsidR="00E84401" w:rsidRPr="00417689" w:rsidRDefault="00E84401" w:rsidP="00E84401">
      <w:pPr>
        <w:pStyle w:val="ListParagraph"/>
        <w:framePr w:w="9246" w:h="914" w:hSpace="187" w:wrap="around" w:vAnchor="text" w:hAnchor="page" w:x="1514" w:y="509"/>
        <w:numPr>
          <w:ilvl w:val="0"/>
          <w:numId w:val="3"/>
        </w:numPr>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szCs w:val="24"/>
        </w:rPr>
      </w:pPr>
      <w:r w:rsidRPr="00417689">
        <w:rPr>
          <w:rFonts w:ascii="Times New Roman" w:hAnsi="Times New Roman"/>
          <w:i/>
          <w:iCs/>
          <w:sz w:val="24"/>
          <w:szCs w:val="24"/>
        </w:rPr>
        <w:t>State of the art</w:t>
      </w:r>
      <w:r w:rsidRPr="00417689">
        <w:rPr>
          <w:rFonts w:ascii="Times New Roman" w:hAnsi="Times New Roman"/>
          <w:sz w:val="24"/>
          <w:szCs w:val="24"/>
        </w:rPr>
        <w:t xml:space="preserve"> dan kebaruan</w:t>
      </w:r>
    </w:p>
    <w:p w14:paraId="5E5CE53A" w14:textId="77777777" w:rsidR="00E84401" w:rsidRPr="00417689" w:rsidRDefault="00E84401" w:rsidP="00E84401">
      <w:pPr>
        <w:pStyle w:val="ListParagraph"/>
        <w:framePr w:w="9246" w:h="914" w:hSpace="187" w:wrap="around" w:vAnchor="text" w:hAnchor="page" w:x="1514" w:y="509"/>
        <w:numPr>
          <w:ilvl w:val="0"/>
          <w:numId w:val="3"/>
        </w:numPr>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szCs w:val="24"/>
        </w:rPr>
      </w:pPr>
      <w:r w:rsidRPr="00417689">
        <w:rPr>
          <w:rFonts w:ascii="Times New Roman" w:hAnsi="Times New Roman"/>
          <w:sz w:val="24"/>
          <w:szCs w:val="24"/>
        </w:rPr>
        <w:t>Peta jalan (</w:t>
      </w:r>
      <w:r w:rsidRPr="00417689">
        <w:rPr>
          <w:rFonts w:ascii="Times New Roman" w:hAnsi="Times New Roman"/>
          <w:i/>
          <w:iCs/>
          <w:sz w:val="24"/>
          <w:szCs w:val="24"/>
        </w:rPr>
        <w:t>road map</w:t>
      </w:r>
      <w:r w:rsidRPr="00417689">
        <w:rPr>
          <w:rFonts w:ascii="Times New Roman" w:hAnsi="Times New Roman"/>
          <w:sz w:val="24"/>
          <w:szCs w:val="24"/>
        </w:rPr>
        <w:t xml:space="preserve">) penelitian 5 tahun </w:t>
      </w:r>
    </w:p>
    <w:p w14:paraId="2CD2D3BD" w14:textId="77777777" w:rsidR="00E84401" w:rsidRPr="000C144C" w:rsidRDefault="00E84401" w:rsidP="00E84401">
      <w:pPr>
        <w:framePr w:w="9246" w:h="914" w:hSpace="187" w:wrap="around" w:vAnchor="text" w:hAnchor="page" w:x="1514" w:y="509"/>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i/>
          <w:sz w:val="24"/>
          <w:szCs w:val="24"/>
        </w:rPr>
      </w:pPr>
      <w:r w:rsidRPr="000C144C">
        <w:rPr>
          <w:rFonts w:ascii="Times New Roman" w:hAnsi="Times New Roman"/>
          <w:i/>
          <w:sz w:val="24"/>
          <w:szCs w:val="24"/>
        </w:rPr>
        <w:t xml:space="preserve">Sitasi disusun dan ditulis berdasarkan sistem nomor sesuai dengan urutan pengutipan, mengikuti format Vancouver </w:t>
      </w:r>
    </w:p>
    <w:p w14:paraId="2F11C231" w14:textId="77777777" w:rsidR="00EA6B03" w:rsidRPr="00E84401" w:rsidRDefault="00EA6B03" w:rsidP="00776C3D">
      <w:pPr>
        <w:spacing w:before="120" w:after="0" w:line="240" w:lineRule="auto"/>
        <w:rPr>
          <w:rFonts w:ascii="Times New Roman" w:hAnsi="Times New Roman"/>
          <w:b/>
          <w:sz w:val="24"/>
        </w:rPr>
      </w:pPr>
      <w:r w:rsidRPr="00E84401">
        <w:rPr>
          <w:rFonts w:ascii="Times New Roman" w:hAnsi="Times New Roman"/>
          <w:b/>
          <w:sz w:val="24"/>
        </w:rPr>
        <w:t>PENDAHULUAN</w:t>
      </w:r>
    </w:p>
    <w:p w14:paraId="5753A50C" w14:textId="77777777" w:rsidR="00E84401" w:rsidRPr="00E84401" w:rsidRDefault="00E84401" w:rsidP="00E84401">
      <w:pPr>
        <w:pStyle w:val="ListParagraph"/>
        <w:numPr>
          <w:ilvl w:val="0"/>
          <w:numId w:val="5"/>
        </w:numPr>
        <w:spacing w:before="120" w:after="0" w:line="240" w:lineRule="auto"/>
        <w:rPr>
          <w:rFonts w:ascii="Times New Roman" w:hAnsi="Times New Roman"/>
          <w:b/>
          <w:sz w:val="24"/>
        </w:rPr>
      </w:pPr>
      <w:r w:rsidRPr="00E84401">
        <w:rPr>
          <w:rFonts w:ascii="Times New Roman" w:hAnsi="Times New Roman"/>
          <w:b/>
          <w:sz w:val="24"/>
        </w:rPr>
        <w:t>LATAR BELAKANG DAN RUMUSAN MASALAH</w:t>
      </w:r>
    </w:p>
    <w:p w14:paraId="3EEF8FA2" w14:textId="16CDCAEB" w:rsidR="005E7D39" w:rsidRDefault="00EE79C6" w:rsidP="00EE79C6">
      <w:pPr>
        <w:pStyle w:val="ListParagraph"/>
        <w:pBdr>
          <w:top w:val="nil"/>
          <w:left w:val="nil"/>
          <w:bottom w:val="nil"/>
          <w:right w:val="nil"/>
          <w:between w:val="nil"/>
        </w:pBdr>
        <w:spacing w:line="275" w:lineRule="auto"/>
        <w:ind w:left="0"/>
        <w:jc w:val="both"/>
        <w:rPr>
          <w:rFonts w:ascii="Times New Roman" w:eastAsia="Google Sans" w:hAnsi="Times New Roman"/>
          <w:color w:val="1F1F1F"/>
          <w:sz w:val="24"/>
          <w:szCs w:val="24"/>
        </w:rPr>
      </w:pPr>
      <w:permStart w:id="484966470" w:edGrp="everyone"/>
      <w:r w:rsidRPr="00EE79C6">
        <w:rPr>
          <w:rFonts w:ascii="Times New Roman" w:eastAsia="Google Sans" w:hAnsi="Times New Roman"/>
          <w:color w:val="1F1F1F"/>
          <w:sz w:val="24"/>
          <w:szCs w:val="24"/>
        </w:rPr>
        <w:t xml:space="preserve">Inklusi keuangan syariah di Indonesia terus didorong melalui berbagai inovasi </w:t>
      </w:r>
      <w:r>
        <w:rPr>
          <w:rFonts w:ascii="Times New Roman" w:eastAsia="Google Sans" w:hAnsi="Times New Roman"/>
          <w:i/>
          <w:iCs/>
          <w:color w:val="1F1F1F"/>
          <w:sz w:val="24"/>
          <w:szCs w:val="24"/>
        </w:rPr>
        <w:t>Financial Te</w:t>
      </w:r>
      <w:r w:rsidRPr="00EE79C6">
        <w:rPr>
          <w:rFonts w:ascii="Times New Roman" w:eastAsia="Google Sans" w:hAnsi="Times New Roman"/>
          <w:i/>
          <w:iCs/>
          <w:color w:val="1F1F1F"/>
          <w:sz w:val="24"/>
          <w:szCs w:val="24"/>
        </w:rPr>
        <w:t>hnology</w:t>
      </w:r>
      <w:r w:rsidRPr="00EE79C6">
        <w:rPr>
          <w:rFonts w:ascii="Times New Roman" w:eastAsia="Google Sans" w:hAnsi="Times New Roman"/>
          <w:color w:val="1F1F1F"/>
          <w:sz w:val="24"/>
          <w:szCs w:val="24"/>
        </w:rPr>
        <w:t xml:space="preserve"> (Fintech), salah satunya adalah </w:t>
      </w:r>
      <w:r w:rsidRPr="00EE79C6">
        <w:rPr>
          <w:rFonts w:ascii="Times New Roman" w:eastAsia="Google Sans" w:hAnsi="Times New Roman"/>
          <w:i/>
          <w:iCs/>
          <w:color w:val="1F1F1F"/>
          <w:sz w:val="24"/>
          <w:szCs w:val="24"/>
        </w:rPr>
        <w:t>Securities Crowdfunding</w:t>
      </w:r>
      <w:r w:rsidRPr="00EE79C6">
        <w:rPr>
          <w:rFonts w:ascii="Times New Roman" w:eastAsia="Google Sans" w:hAnsi="Times New Roman"/>
          <w:color w:val="1F1F1F"/>
          <w:sz w:val="24"/>
          <w:szCs w:val="24"/>
        </w:rPr>
        <w:t xml:space="preserve"> (SCF) Syariah. SCF Syariah merupakan metode pengumpulan dana dengan skema patungan yang dilakukan secara digital dan sesuai dengan prinsip syariah, baik melalui penerbitan saham maupun sukuk (efek syariah). Shafiq.id merupakan platform SCF Syariah pertama di Indonesia yang mendapatkan izin dari Otoritas Jasa Keuangan (OJK). Kesuksesan sebuah kampanye pendanaan pada platform SCF sangat bergantung pada tingkat partisipasi pemodal. Semakin tinggi tingkat partisipasi, semakin cepat dana terkumpul untuk membantu ekspansi bisnis UMKM. Namun, perilaku pemodal dalam memutuskan untuk berpartisipasi dipengaruhi oleh berbagai informasi fundamental atas proyek yang ditawarkan [1, 2].</w:t>
      </w:r>
    </w:p>
    <w:p w14:paraId="01E63D21" w14:textId="77777777" w:rsidR="00EE79C6" w:rsidRDefault="00EE79C6" w:rsidP="00EE79C6">
      <w:pPr>
        <w:pStyle w:val="ListParagraph"/>
        <w:pBdr>
          <w:top w:val="nil"/>
          <w:left w:val="nil"/>
          <w:bottom w:val="nil"/>
          <w:right w:val="nil"/>
          <w:between w:val="nil"/>
        </w:pBdr>
        <w:spacing w:line="275" w:lineRule="auto"/>
        <w:ind w:left="0"/>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 xml:space="preserve">Faktor pertama yang menjadi sorotan adalah tingkat </w:t>
      </w:r>
      <w:r w:rsidRPr="00624E9D">
        <w:rPr>
          <w:rFonts w:ascii="Times New Roman" w:eastAsia="Google Sans" w:hAnsi="Times New Roman"/>
          <w:i/>
          <w:iCs/>
          <w:color w:val="1F1F1F"/>
          <w:sz w:val="24"/>
          <w:szCs w:val="24"/>
        </w:rPr>
        <w:t>Return on Investment</w:t>
      </w:r>
      <w:r w:rsidRPr="00624E9D">
        <w:rPr>
          <w:rFonts w:ascii="Times New Roman" w:eastAsia="Google Sans" w:hAnsi="Times New Roman"/>
          <w:color w:val="1F1F1F"/>
          <w:sz w:val="24"/>
          <w:szCs w:val="24"/>
        </w:rPr>
        <w:t xml:space="preserve"> (ROI) atau imbal hasil. Dalam investasi sukuk, proyeksi imbal hasil yang kompetitif secara teoritis akan menarik lebih banyak pemodal rasional yang menginginkan optimalisasi keuntungan dari dana yang mereka tempatkan [3]. Faktor kedua adalah Tenor Sukuk. Tenor mencerminkan jangka waktu pengembalian dana investasi. Tenor yang lebih panjang seringkali diasosiasikan dengan risiko ketidakpastian yang lebih tinggi serta tingkat likuiditas yang lebih rendah, yang berpotensi menurunkan minat pemodal untuk berpartisipasi [4]. Faktor ketiga adalah Nilai Pendanaan (target dana yang dibutuhkan). Nilai pendanaan mencerminkan skala proyek dan kebutuhan modal. Target pendanaan yang terlalu besar mungkin menimbulkan keraguan pemodal terkait kemampuan perusahaan dalam mencapai target </w:t>
      </w:r>
      <w:r w:rsidRPr="00624E9D">
        <w:rPr>
          <w:rFonts w:ascii="Times New Roman" w:eastAsia="Google Sans" w:hAnsi="Times New Roman"/>
          <w:i/>
          <w:iCs/>
          <w:color w:val="1F1F1F"/>
          <w:sz w:val="24"/>
          <w:szCs w:val="24"/>
        </w:rPr>
        <w:t>closed funding</w:t>
      </w:r>
      <w:r w:rsidRPr="00624E9D">
        <w:rPr>
          <w:rFonts w:ascii="Times New Roman" w:eastAsia="Google Sans" w:hAnsi="Times New Roman"/>
          <w:color w:val="1F1F1F"/>
          <w:sz w:val="24"/>
          <w:szCs w:val="24"/>
        </w:rPr>
        <w:t>, sementara nilai yang terukur dapat meningkatkan keyakinan pasar [5]</w:t>
      </w:r>
      <w:r>
        <w:rPr>
          <w:rFonts w:ascii="Times New Roman" w:eastAsia="Google Sans" w:hAnsi="Times New Roman"/>
          <w:color w:val="1F1F1F"/>
          <w:sz w:val="24"/>
          <w:szCs w:val="24"/>
        </w:rPr>
        <w:t>.</w:t>
      </w:r>
    </w:p>
    <w:p w14:paraId="5A024D2A" w14:textId="78C3C83E" w:rsidR="00EE79C6" w:rsidRPr="00624E9D" w:rsidRDefault="00EE79C6" w:rsidP="00EE79C6">
      <w:pPr>
        <w:pStyle w:val="ListParagraph"/>
        <w:pBdr>
          <w:top w:val="nil"/>
          <w:left w:val="nil"/>
          <w:bottom w:val="nil"/>
          <w:right w:val="nil"/>
          <w:between w:val="nil"/>
        </w:pBdr>
        <w:spacing w:after="0" w:line="240" w:lineRule="auto"/>
        <w:ind w:left="0"/>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 xml:space="preserve">Selain ketiga faktor fundamental penawaran di atas, kondisi makroekonomi khususnya tingkat suku bunga acuan (BI-Rate) diduga kuat memoderasi keputusan pemodal [6]. Meskipun SCF ini berbasis syariah, BI-Rate tetap menjadi </w:t>
      </w:r>
      <w:r w:rsidRPr="00624E9D">
        <w:rPr>
          <w:rFonts w:ascii="Times New Roman" w:eastAsia="Google Sans" w:hAnsi="Times New Roman"/>
          <w:i/>
          <w:iCs/>
          <w:color w:val="1F1F1F"/>
          <w:sz w:val="24"/>
          <w:szCs w:val="24"/>
        </w:rPr>
        <w:t>benchmark</w:t>
      </w:r>
      <w:r w:rsidRPr="00624E9D">
        <w:rPr>
          <w:rFonts w:ascii="Times New Roman" w:eastAsia="Google Sans" w:hAnsi="Times New Roman"/>
          <w:color w:val="1F1F1F"/>
          <w:sz w:val="24"/>
          <w:szCs w:val="24"/>
        </w:rPr>
        <w:t xml:space="preserve"> makroekonomi yang mencerminkan </w:t>
      </w:r>
      <w:r w:rsidRPr="00624E9D">
        <w:rPr>
          <w:rFonts w:ascii="Times New Roman" w:eastAsia="Google Sans" w:hAnsi="Times New Roman"/>
          <w:i/>
          <w:iCs/>
          <w:color w:val="1F1F1F"/>
          <w:sz w:val="24"/>
          <w:szCs w:val="24"/>
        </w:rPr>
        <w:t>opportunity cost</w:t>
      </w:r>
      <w:r w:rsidRPr="00624E9D">
        <w:rPr>
          <w:rFonts w:ascii="Times New Roman" w:eastAsia="Google Sans" w:hAnsi="Times New Roman"/>
          <w:color w:val="1F1F1F"/>
          <w:sz w:val="24"/>
          <w:szCs w:val="24"/>
        </w:rPr>
        <w:t xml:space="preserve"> bagi pemodal di Indonesia. Ketika BI-Rate tinggi, instrumen perbankan atau obligasi pemerintah menjadi lebih menarik karena imbal hasilnya menyesuaikan naik dengan risiko yang sangat rendah. Hal ini berpotensi mereduksi sensitivitas pemodal terhadap daya tarik ROI dari instrumen SCF. Sebaliknya, saat BI-Rate rendah, pemodal akan cenderung mencari alternatif investasi berisiko (seperti SCF) yang menawarkan </w:t>
      </w:r>
      <w:r w:rsidRPr="00624E9D">
        <w:rPr>
          <w:rFonts w:ascii="Times New Roman" w:eastAsia="Google Sans" w:hAnsi="Times New Roman"/>
          <w:i/>
          <w:iCs/>
          <w:color w:val="1F1F1F"/>
          <w:sz w:val="24"/>
          <w:szCs w:val="24"/>
        </w:rPr>
        <w:t>yield</w:t>
      </w:r>
      <w:r w:rsidRPr="00624E9D">
        <w:rPr>
          <w:rFonts w:ascii="Times New Roman" w:eastAsia="Google Sans" w:hAnsi="Times New Roman"/>
          <w:color w:val="1F1F1F"/>
          <w:sz w:val="24"/>
          <w:szCs w:val="24"/>
        </w:rPr>
        <w:t xml:space="preserve"> lebih tinggi [7, 8]. Uraian latar belakang tersebut mendasari perumusan masalah sebagai berikut:</w:t>
      </w:r>
    </w:p>
    <w:p w14:paraId="75C401E6" w14:textId="77777777" w:rsidR="00EE79C6" w:rsidRPr="00624E9D" w:rsidRDefault="00EE79C6" w:rsidP="00EE79C6">
      <w:pPr>
        <w:pBdr>
          <w:top w:val="nil"/>
          <w:left w:val="nil"/>
          <w:bottom w:val="nil"/>
          <w:right w:val="nil"/>
          <w:between w:val="nil"/>
        </w:pBdr>
        <w:spacing w:after="0" w:line="240" w:lineRule="auto"/>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a. Bagaimana tingkat ROI berpengaruh terhadap Jumlah Partisipasi Pemodal?</w:t>
      </w:r>
    </w:p>
    <w:p w14:paraId="7B89D354" w14:textId="77777777" w:rsidR="00EE79C6" w:rsidRPr="00624E9D" w:rsidRDefault="00EE79C6" w:rsidP="00EE79C6">
      <w:pPr>
        <w:pBdr>
          <w:top w:val="nil"/>
          <w:left w:val="nil"/>
          <w:bottom w:val="nil"/>
          <w:right w:val="nil"/>
          <w:between w:val="nil"/>
        </w:pBdr>
        <w:spacing w:after="0" w:line="240" w:lineRule="auto"/>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b. Bagaimana Tenor Sukuk berpengaruh terhadap Jumlah Partisipasi Pemodal?</w:t>
      </w:r>
    </w:p>
    <w:p w14:paraId="717D4A9A" w14:textId="77777777" w:rsidR="00EE79C6" w:rsidRPr="00624E9D" w:rsidRDefault="00EE79C6" w:rsidP="00EE79C6">
      <w:pPr>
        <w:pBdr>
          <w:top w:val="nil"/>
          <w:left w:val="nil"/>
          <w:bottom w:val="nil"/>
          <w:right w:val="nil"/>
          <w:between w:val="nil"/>
        </w:pBdr>
        <w:spacing w:after="0" w:line="240" w:lineRule="auto"/>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c. Bagaimana Nilai Pendanaan berpengaruh terhadap Jumlah Partisipasi Pemodal?</w:t>
      </w:r>
    </w:p>
    <w:p w14:paraId="6EA3F758" w14:textId="77777777" w:rsidR="00EE79C6" w:rsidRPr="00624E9D" w:rsidRDefault="00EE79C6" w:rsidP="00EE79C6">
      <w:pPr>
        <w:pBdr>
          <w:top w:val="nil"/>
          <w:left w:val="nil"/>
          <w:bottom w:val="nil"/>
          <w:right w:val="nil"/>
          <w:between w:val="nil"/>
        </w:pBdr>
        <w:spacing w:after="0" w:line="240" w:lineRule="auto"/>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lastRenderedPageBreak/>
        <w:t>d. Apakah BI-Rate memoderasi pengaruh tingkat ROI terhadap Jumlah Partisipasi Pemodal?</w:t>
      </w:r>
    </w:p>
    <w:p w14:paraId="2354DF7C" w14:textId="77777777" w:rsidR="00EE79C6" w:rsidRPr="00624E9D" w:rsidRDefault="00EE79C6" w:rsidP="00EE79C6">
      <w:pPr>
        <w:pBdr>
          <w:top w:val="nil"/>
          <w:left w:val="nil"/>
          <w:bottom w:val="nil"/>
          <w:right w:val="nil"/>
          <w:between w:val="nil"/>
        </w:pBdr>
        <w:spacing w:after="0" w:line="240" w:lineRule="auto"/>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e. Apakah BI-Rate memoderasi pengaruh Tenor Sukuk terhadap Jumlah Partisipasi Pemodal?</w:t>
      </w:r>
    </w:p>
    <w:p w14:paraId="0A0E5CE9" w14:textId="77777777" w:rsidR="00EE79C6" w:rsidRPr="00624E9D" w:rsidRDefault="00EE79C6" w:rsidP="00EE79C6">
      <w:pPr>
        <w:pBdr>
          <w:top w:val="nil"/>
          <w:left w:val="nil"/>
          <w:bottom w:val="nil"/>
          <w:right w:val="nil"/>
          <w:between w:val="nil"/>
        </w:pBdr>
        <w:spacing w:after="0" w:line="240" w:lineRule="auto"/>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f. Apakah BI-Rate memoderasi pengaruh Nilai Pendanaan terhadap Jumlah Partisipasi Pemodal?</w:t>
      </w:r>
    </w:p>
    <w:p w14:paraId="4CE4DEB4" w14:textId="77777777" w:rsidR="00EE79C6" w:rsidRPr="00EE79C6" w:rsidRDefault="00EE79C6" w:rsidP="00EE79C6">
      <w:pPr>
        <w:pStyle w:val="ListParagraph"/>
        <w:pBdr>
          <w:top w:val="nil"/>
          <w:left w:val="nil"/>
          <w:bottom w:val="nil"/>
          <w:right w:val="nil"/>
          <w:between w:val="nil"/>
        </w:pBdr>
        <w:spacing w:line="275" w:lineRule="auto"/>
        <w:ind w:left="0"/>
        <w:jc w:val="both"/>
        <w:rPr>
          <w:rFonts w:ascii="Times New Roman" w:eastAsia="Google Sans" w:hAnsi="Times New Roman"/>
          <w:i/>
          <w:iCs/>
          <w:color w:val="1F1F1F"/>
          <w:sz w:val="24"/>
          <w:szCs w:val="24"/>
        </w:rPr>
      </w:pPr>
    </w:p>
    <w:permEnd w:id="484966470"/>
    <w:p w14:paraId="0765FE44" w14:textId="77777777" w:rsidR="00E84401" w:rsidRPr="00E84401" w:rsidRDefault="00E84401" w:rsidP="00E84401">
      <w:pPr>
        <w:pStyle w:val="ListParagraph"/>
        <w:numPr>
          <w:ilvl w:val="0"/>
          <w:numId w:val="5"/>
        </w:numPr>
        <w:spacing w:before="120" w:after="0" w:line="240" w:lineRule="auto"/>
        <w:rPr>
          <w:rFonts w:ascii="Times New Roman" w:hAnsi="Times New Roman"/>
          <w:b/>
          <w:sz w:val="24"/>
        </w:rPr>
      </w:pPr>
      <w:r>
        <w:rPr>
          <w:rFonts w:ascii="Times New Roman" w:hAnsi="Times New Roman"/>
          <w:b/>
          <w:sz w:val="24"/>
        </w:rPr>
        <w:t>PENDEKATAN PEMECAHAN</w:t>
      </w:r>
      <w:r w:rsidRPr="00E84401">
        <w:rPr>
          <w:rFonts w:ascii="Times New Roman" w:hAnsi="Times New Roman"/>
          <w:b/>
          <w:sz w:val="24"/>
        </w:rPr>
        <w:t xml:space="preserve"> MASALAH</w:t>
      </w:r>
    </w:p>
    <w:p w14:paraId="6ED823F5" w14:textId="4BE1E05B" w:rsidR="00E84401" w:rsidRPr="0021445C" w:rsidRDefault="0021445C" w:rsidP="0021445C">
      <w:pPr>
        <w:pBdr>
          <w:top w:val="nil"/>
          <w:left w:val="nil"/>
          <w:bottom w:val="nil"/>
          <w:right w:val="nil"/>
          <w:between w:val="nil"/>
        </w:pBdr>
        <w:spacing w:line="275" w:lineRule="auto"/>
        <w:jc w:val="both"/>
        <w:rPr>
          <w:rFonts w:ascii="Times New Roman" w:eastAsia="Google Sans" w:hAnsi="Times New Roman"/>
          <w:color w:val="1F1F1F"/>
          <w:sz w:val="24"/>
          <w:szCs w:val="24"/>
        </w:rPr>
      </w:pPr>
      <w:permStart w:id="1864118687" w:edGrp="everyone"/>
      <w:r w:rsidRPr="0021445C">
        <w:rPr>
          <w:rFonts w:ascii="Times New Roman" w:eastAsia="Google Sans" w:hAnsi="Times New Roman"/>
          <w:color w:val="1F1F1F"/>
          <w:sz w:val="24"/>
          <w:szCs w:val="24"/>
        </w:rPr>
        <w:t xml:space="preserve">Penelitian ini menerapkan pendekatan kuantitatif eksplanatori berbasis data sekunder. Tahapan pemecahan masalah dilakukan sebagai berikut: Pertama, melakukan inventarisasi data seluruh kampanye penerbitan sukuk pada platform shafiq.id selama periode 2022-2025 dan menarik data historis BI-Rate pada bulan diterbitkannya kampanye tersebut. Data yang diekstraksi meliputi proyeksi ROI (persentase), Tenor Sukuk (dalam bulan), Nilai Pendanaan (dalam Rupiah), Jumlah Partisipasi Pemodal (jumlah orang), dan BI-Rate (persentase). Kedua, melakukan tabulasi dan pra-pemrosesan data agar selaras dengan spesifikasi </w:t>
      </w:r>
      <w:r w:rsidRPr="0021445C">
        <w:rPr>
          <w:rFonts w:ascii="Times New Roman" w:eastAsia="Google Sans" w:hAnsi="Times New Roman"/>
          <w:i/>
          <w:iCs/>
          <w:color w:val="1F1F1F"/>
          <w:sz w:val="24"/>
          <w:szCs w:val="24"/>
        </w:rPr>
        <w:t>input software</w:t>
      </w:r>
      <w:r w:rsidRPr="0021445C">
        <w:rPr>
          <w:rFonts w:ascii="Times New Roman" w:eastAsia="Google Sans" w:hAnsi="Times New Roman"/>
          <w:color w:val="1F1F1F"/>
          <w:sz w:val="24"/>
          <w:szCs w:val="24"/>
        </w:rPr>
        <w:t xml:space="preserve"> analisis. Ketiga, melakukan pengujian hipotesis menggunakan pendekatan </w:t>
      </w:r>
      <w:r w:rsidRPr="0021445C">
        <w:rPr>
          <w:rFonts w:ascii="Times New Roman" w:eastAsia="Google Sans" w:hAnsi="Times New Roman"/>
          <w:i/>
          <w:iCs/>
          <w:color w:val="1F1F1F"/>
          <w:sz w:val="24"/>
          <w:szCs w:val="24"/>
        </w:rPr>
        <w:t>Partial Least Squares Structural Equation Modeling</w:t>
      </w:r>
      <w:r w:rsidRPr="0021445C">
        <w:rPr>
          <w:rFonts w:ascii="Times New Roman" w:eastAsia="Google Sans" w:hAnsi="Times New Roman"/>
          <w:color w:val="1F1F1F"/>
          <w:sz w:val="24"/>
          <w:szCs w:val="24"/>
        </w:rPr>
        <w:t xml:space="preserve"> (PLS-SEM) dengan </w:t>
      </w:r>
      <w:r w:rsidRPr="0021445C">
        <w:rPr>
          <w:rFonts w:ascii="Times New Roman" w:eastAsia="Google Sans" w:hAnsi="Times New Roman"/>
          <w:i/>
          <w:iCs/>
          <w:color w:val="1F1F1F"/>
          <w:sz w:val="24"/>
          <w:szCs w:val="24"/>
        </w:rPr>
        <w:t>software</w:t>
      </w:r>
      <w:r w:rsidRPr="0021445C">
        <w:rPr>
          <w:rFonts w:ascii="Times New Roman" w:eastAsia="Google Sans" w:hAnsi="Times New Roman"/>
          <w:color w:val="1F1F1F"/>
          <w:sz w:val="24"/>
          <w:szCs w:val="24"/>
        </w:rPr>
        <w:t xml:space="preserve"> SmartPLS. Analisis difokuskan pada evaluasi model struktural (</w:t>
      </w:r>
      <w:r w:rsidRPr="0021445C">
        <w:rPr>
          <w:rFonts w:ascii="Times New Roman" w:eastAsia="Google Sans" w:hAnsi="Times New Roman"/>
          <w:i/>
          <w:iCs/>
          <w:color w:val="1F1F1F"/>
          <w:sz w:val="24"/>
          <w:szCs w:val="24"/>
        </w:rPr>
        <w:t>inner model</w:t>
      </w:r>
      <w:r w:rsidRPr="0021445C">
        <w:rPr>
          <w:rFonts w:ascii="Times New Roman" w:eastAsia="Google Sans" w:hAnsi="Times New Roman"/>
          <w:color w:val="1F1F1F"/>
          <w:sz w:val="24"/>
          <w:szCs w:val="24"/>
        </w:rPr>
        <w:t xml:space="preserve">) dan uji signifikansi melalui prosedur </w:t>
      </w:r>
      <w:r w:rsidRPr="0021445C">
        <w:rPr>
          <w:rFonts w:ascii="Times New Roman" w:eastAsia="Google Sans" w:hAnsi="Times New Roman"/>
          <w:i/>
          <w:iCs/>
          <w:color w:val="1F1F1F"/>
          <w:sz w:val="24"/>
          <w:szCs w:val="24"/>
        </w:rPr>
        <w:t>bootstrapping</w:t>
      </w:r>
      <w:r w:rsidRPr="0021445C">
        <w:rPr>
          <w:rFonts w:ascii="Times New Roman" w:eastAsia="Google Sans" w:hAnsi="Times New Roman"/>
          <w:color w:val="1F1F1F"/>
          <w:sz w:val="24"/>
          <w:szCs w:val="24"/>
        </w:rPr>
        <w:t xml:space="preserve"> untuk menguji pengaruh langsung serta efek interaksi moderasi (BI-Rate). Tahap terakhir adalah interpretasi hasil estimasi parameter untuk menyusun rekomendasi manajerial.</w:t>
      </w:r>
    </w:p>
    <w:permEnd w:id="1864118687"/>
    <w:p w14:paraId="74E8631D" w14:textId="77777777" w:rsidR="00E84401" w:rsidRDefault="00E84401" w:rsidP="00E84401">
      <w:pPr>
        <w:spacing w:before="120" w:after="0" w:line="240" w:lineRule="auto"/>
        <w:rPr>
          <w:rFonts w:ascii="Times New Roman" w:hAnsi="Times New Roman"/>
          <w:sz w:val="24"/>
        </w:rPr>
      </w:pPr>
    </w:p>
    <w:p w14:paraId="122F4C25" w14:textId="77777777" w:rsidR="00E84401" w:rsidRPr="00E84401" w:rsidRDefault="00E84401" w:rsidP="00E84401">
      <w:pPr>
        <w:pStyle w:val="ListParagraph"/>
        <w:numPr>
          <w:ilvl w:val="0"/>
          <w:numId w:val="5"/>
        </w:numPr>
        <w:spacing w:before="120" w:after="0" w:line="240" w:lineRule="auto"/>
        <w:rPr>
          <w:rFonts w:ascii="Times New Roman" w:hAnsi="Times New Roman"/>
          <w:b/>
          <w:sz w:val="24"/>
        </w:rPr>
      </w:pPr>
      <w:r w:rsidRPr="00E84401">
        <w:rPr>
          <w:rFonts w:ascii="Times New Roman" w:hAnsi="Times New Roman"/>
          <w:b/>
          <w:i/>
          <w:sz w:val="24"/>
        </w:rPr>
        <w:t>STATE OF THE ART</w:t>
      </w:r>
      <w:r>
        <w:rPr>
          <w:rFonts w:ascii="Times New Roman" w:hAnsi="Times New Roman"/>
          <w:b/>
          <w:sz w:val="24"/>
        </w:rPr>
        <w:t xml:space="preserve"> DAN KEBARUAN</w:t>
      </w:r>
    </w:p>
    <w:p w14:paraId="3B88DD9D" w14:textId="37641BBF" w:rsidR="00E84401" w:rsidRPr="00CC15EA" w:rsidRDefault="00CC15EA" w:rsidP="00CC15EA">
      <w:pPr>
        <w:pBdr>
          <w:top w:val="nil"/>
          <w:left w:val="nil"/>
          <w:bottom w:val="nil"/>
          <w:right w:val="nil"/>
          <w:between w:val="nil"/>
        </w:pBdr>
        <w:spacing w:line="275" w:lineRule="auto"/>
        <w:jc w:val="both"/>
        <w:rPr>
          <w:rFonts w:ascii="Times New Roman" w:eastAsia="Google Sans" w:hAnsi="Times New Roman"/>
          <w:color w:val="1F1F1F"/>
          <w:sz w:val="24"/>
          <w:szCs w:val="24"/>
        </w:rPr>
      </w:pPr>
      <w:permStart w:id="830760063" w:edGrp="everyone"/>
      <w:r w:rsidRPr="00CC15EA">
        <w:rPr>
          <w:rFonts w:ascii="Times New Roman" w:eastAsia="Google Sans" w:hAnsi="Times New Roman"/>
          <w:color w:val="1F1F1F"/>
          <w:sz w:val="24"/>
          <w:szCs w:val="24"/>
        </w:rPr>
        <w:t xml:space="preserve">Berbagai penelitian terdahulu telah membahas determinan keberhasilan </w:t>
      </w:r>
      <w:r w:rsidRPr="00CC15EA">
        <w:rPr>
          <w:rFonts w:ascii="Times New Roman" w:eastAsia="Google Sans" w:hAnsi="Times New Roman"/>
          <w:i/>
          <w:iCs/>
          <w:color w:val="1F1F1F"/>
          <w:sz w:val="24"/>
          <w:szCs w:val="24"/>
        </w:rPr>
        <w:t>crowdfunding</w:t>
      </w:r>
      <w:r w:rsidRPr="00CC15EA">
        <w:rPr>
          <w:rFonts w:ascii="Times New Roman" w:eastAsia="Google Sans" w:hAnsi="Times New Roman"/>
          <w:color w:val="1F1F1F"/>
          <w:sz w:val="24"/>
          <w:szCs w:val="24"/>
        </w:rPr>
        <w:t xml:space="preserve">, namun mayoritas hanya berfokus pada tingkat mikro seperti sentimen deskripsi proyek pada </w:t>
      </w:r>
      <w:r w:rsidRPr="00CC15EA">
        <w:rPr>
          <w:rFonts w:ascii="Times New Roman" w:eastAsia="Google Sans" w:hAnsi="Times New Roman"/>
          <w:i/>
          <w:iCs/>
          <w:color w:val="1F1F1F"/>
          <w:sz w:val="24"/>
          <w:szCs w:val="24"/>
        </w:rPr>
        <w:t>reward-based crowdfunding</w:t>
      </w:r>
      <w:r w:rsidRPr="00CC15EA">
        <w:rPr>
          <w:rFonts w:ascii="Times New Roman" w:eastAsia="Google Sans" w:hAnsi="Times New Roman"/>
          <w:color w:val="1F1F1F"/>
          <w:sz w:val="24"/>
          <w:szCs w:val="24"/>
        </w:rPr>
        <w:t xml:space="preserve"> konvensional [1, 4]. Kebaruan penelitian ini terletak pada dua hal utama: 1) Objek spesifik SCF Syariah yang menerbitkan instrumen sukuk, di mana instrumen ini memiliki karakteristik kepastian imbal hasil dan profil risiko yang unik dibandingkan saham. 2) Integrasi indikator makroekonomi (BI-Rate) sebagai variabel moderasi terhadap faktor fundamental mikro di dalam ekosistem platform digital. Penggunaan alat analisis PLS-SEM dengan efek moderasi variabel kontinu (</w:t>
      </w:r>
      <w:r w:rsidRPr="00CC15EA">
        <w:rPr>
          <w:rFonts w:ascii="Times New Roman" w:eastAsia="Google Sans" w:hAnsi="Times New Roman"/>
          <w:i/>
          <w:iCs/>
          <w:color w:val="1F1F1F"/>
          <w:sz w:val="24"/>
          <w:szCs w:val="24"/>
        </w:rPr>
        <w:t>interaction effect</w:t>
      </w:r>
      <w:r w:rsidRPr="00CC15EA">
        <w:rPr>
          <w:rFonts w:ascii="Times New Roman" w:eastAsia="Google Sans" w:hAnsi="Times New Roman"/>
          <w:color w:val="1F1F1F"/>
          <w:sz w:val="24"/>
          <w:szCs w:val="24"/>
        </w:rPr>
        <w:t xml:space="preserve">) pada studi kasus </w:t>
      </w:r>
      <w:r w:rsidRPr="00CC15EA">
        <w:rPr>
          <w:rFonts w:ascii="Times New Roman" w:eastAsia="Google Sans" w:hAnsi="Times New Roman"/>
          <w:i/>
          <w:iCs/>
          <w:color w:val="1F1F1F"/>
          <w:sz w:val="24"/>
          <w:szCs w:val="24"/>
        </w:rPr>
        <w:t>Securities Crowdfunding</w:t>
      </w:r>
      <w:r w:rsidRPr="00CC15EA">
        <w:rPr>
          <w:rFonts w:ascii="Times New Roman" w:eastAsia="Google Sans" w:hAnsi="Times New Roman"/>
          <w:color w:val="1F1F1F"/>
          <w:sz w:val="24"/>
          <w:szCs w:val="24"/>
        </w:rPr>
        <w:t xml:space="preserve"> masih sangat terbatas, sehingga penelitian ini diharapkan mampu mengklarifikasi secara empiris perilaku </w:t>
      </w:r>
      <w:r w:rsidRPr="00CC15EA">
        <w:rPr>
          <w:rFonts w:ascii="Times New Roman" w:eastAsia="Google Sans" w:hAnsi="Times New Roman"/>
          <w:i/>
          <w:iCs/>
          <w:color w:val="1F1F1F"/>
          <w:sz w:val="24"/>
          <w:szCs w:val="24"/>
        </w:rPr>
        <w:t>switching</w:t>
      </w:r>
      <w:r w:rsidRPr="00CC15EA">
        <w:rPr>
          <w:rFonts w:ascii="Times New Roman" w:eastAsia="Google Sans" w:hAnsi="Times New Roman"/>
          <w:color w:val="1F1F1F"/>
          <w:sz w:val="24"/>
          <w:szCs w:val="24"/>
        </w:rPr>
        <w:t xml:space="preserve"> (perpindahan) minat pemodal </w:t>
      </w:r>
      <w:r w:rsidRPr="00CC15EA">
        <w:rPr>
          <w:rFonts w:ascii="Times New Roman" w:eastAsia="Google Sans" w:hAnsi="Times New Roman"/>
          <w:i/>
          <w:iCs/>
          <w:color w:val="1F1F1F"/>
          <w:sz w:val="24"/>
          <w:szCs w:val="24"/>
        </w:rPr>
        <w:t>fintech</w:t>
      </w:r>
      <w:r w:rsidRPr="00CC15EA">
        <w:rPr>
          <w:rFonts w:ascii="Times New Roman" w:eastAsia="Google Sans" w:hAnsi="Times New Roman"/>
          <w:color w:val="1F1F1F"/>
          <w:sz w:val="24"/>
          <w:szCs w:val="24"/>
        </w:rPr>
        <w:t xml:space="preserve"> dalam mer</w:t>
      </w:r>
      <w:r>
        <w:rPr>
          <w:rFonts w:ascii="Times New Roman" w:eastAsia="Google Sans" w:hAnsi="Times New Roman"/>
          <w:color w:val="1F1F1F"/>
          <w:sz w:val="24"/>
          <w:szCs w:val="24"/>
        </w:rPr>
        <w:t>espons siklus kebijakan moneter</w:t>
      </w:r>
      <w:r w:rsidR="00E84401">
        <w:rPr>
          <w:rFonts w:ascii="Times New Roman" w:hAnsi="Times New Roman"/>
          <w:sz w:val="24"/>
        </w:rPr>
        <w:t>.</w:t>
      </w:r>
    </w:p>
    <w:permEnd w:id="830760063"/>
    <w:p w14:paraId="0CAAB664" w14:textId="77777777" w:rsidR="00E84401" w:rsidRDefault="00E84401" w:rsidP="00E84401">
      <w:pPr>
        <w:spacing w:before="120" w:after="0" w:line="240" w:lineRule="auto"/>
        <w:rPr>
          <w:rFonts w:ascii="Times New Roman" w:hAnsi="Times New Roman"/>
          <w:sz w:val="24"/>
        </w:rPr>
      </w:pPr>
    </w:p>
    <w:p w14:paraId="0C23D274" w14:textId="77777777" w:rsidR="00467B12" w:rsidRPr="00E84401" w:rsidRDefault="00467B12" w:rsidP="00467B12">
      <w:pPr>
        <w:pStyle w:val="ListParagraph"/>
        <w:numPr>
          <w:ilvl w:val="0"/>
          <w:numId w:val="5"/>
        </w:numPr>
        <w:spacing w:before="120" w:after="0" w:line="240" w:lineRule="auto"/>
        <w:rPr>
          <w:rFonts w:ascii="Times New Roman" w:hAnsi="Times New Roman"/>
          <w:b/>
          <w:sz w:val="24"/>
        </w:rPr>
      </w:pPr>
      <w:r>
        <w:rPr>
          <w:rFonts w:ascii="Times New Roman" w:hAnsi="Times New Roman"/>
          <w:b/>
          <w:sz w:val="24"/>
        </w:rPr>
        <w:t>PETA JALAN PENELITIAN</w:t>
      </w:r>
    </w:p>
    <w:p w14:paraId="5C57B607" w14:textId="538289F5" w:rsidR="000C76E7" w:rsidRPr="000C76E7" w:rsidRDefault="000C76E7" w:rsidP="000C76E7">
      <w:pPr>
        <w:pBdr>
          <w:top w:val="nil"/>
          <w:left w:val="nil"/>
          <w:bottom w:val="nil"/>
          <w:right w:val="nil"/>
          <w:between w:val="nil"/>
        </w:pBdr>
        <w:spacing w:line="275" w:lineRule="auto"/>
        <w:jc w:val="both"/>
        <w:rPr>
          <w:rFonts w:ascii="Times New Roman" w:eastAsia="Google Sans" w:hAnsi="Times New Roman"/>
          <w:color w:val="1F1F1F"/>
          <w:sz w:val="24"/>
          <w:szCs w:val="24"/>
        </w:rPr>
      </w:pPr>
      <w:permStart w:id="341524484" w:edGrp="everyone"/>
      <w:r w:rsidRPr="000C76E7">
        <w:rPr>
          <w:rFonts w:ascii="Times New Roman" w:eastAsia="Google Sans" w:hAnsi="Times New Roman"/>
          <w:color w:val="1F1F1F"/>
          <w:sz w:val="24"/>
          <w:szCs w:val="24"/>
        </w:rPr>
        <w:t xml:space="preserve">Peta jalan penelitian selama lima tahun ke depan diarahkan pada pengembangan model </w:t>
      </w:r>
      <w:r w:rsidRPr="000C76E7">
        <w:rPr>
          <w:rFonts w:ascii="Times New Roman" w:eastAsia="Google Sans" w:hAnsi="Times New Roman"/>
          <w:i/>
          <w:iCs/>
          <w:color w:val="1F1F1F"/>
          <w:sz w:val="24"/>
          <w:szCs w:val="24"/>
        </w:rPr>
        <w:t>Credit Scoring</w:t>
      </w:r>
      <w:r w:rsidRPr="000C76E7">
        <w:rPr>
          <w:rFonts w:ascii="Times New Roman" w:eastAsia="Google Sans" w:hAnsi="Times New Roman"/>
          <w:color w:val="1F1F1F"/>
          <w:sz w:val="24"/>
          <w:szCs w:val="24"/>
        </w:rPr>
        <w:t xml:space="preserve"> dan </w:t>
      </w:r>
      <w:r w:rsidRPr="000C76E7">
        <w:rPr>
          <w:rFonts w:ascii="Times New Roman" w:eastAsia="Google Sans" w:hAnsi="Times New Roman"/>
          <w:i/>
          <w:iCs/>
          <w:color w:val="1F1F1F"/>
          <w:sz w:val="24"/>
          <w:szCs w:val="24"/>
        </w:rPr>
        <w:t>Investment Decision</w:t>
      </w:r>
      <w:r w:rsidRPr="000C76E7">
        <w:rPr>
          <w:rFonts w:ascii="Times New Roman" w:eastAsia="Google Sans" w:hAnsi="Times New Roman"/>
          <w:color w:val="1F1F1F"/>
          <w:sz w:val="24"/>
          <w:szCs w:val="24"/>
        </w:rPr>
        <w:t xml:space="preserve"> di sektor ekosistem SCF Syariah. Adapun </w:t>
      </w:r>
      <w:r w:rsidRPr="000C76E7">
        <w:rPr>
          <w:rFonts w:ascii="Times New Roman" w:eastAsia="Google Sans" w:hAnsi="Times New Roman"/>
          <w:i/>
          <w:iCs/>
          <w:color w:val="1F1F1F"/>
          <w:sz w:val="24"/>
          <w:szCs w:val="24"/>
        </w:rPr>
        <w:t>roadmap</w:t>
      </w:r>
      <w:r w:rsidRPr="000C76E7">
        <w:rPr>
          <w:rFonts w:ascii="Times New Roman" w:eastAsia="Google Sans" w:hAnsi="Times New Roman"/>
          <w:color w:val="1F1F1F"/>
          <w:sz w:val="24"/>
          <w:szCs w:val="24"/>
        </w:rPr>
        <w:t xml:space="preserve"> penelitian selama lima tahun ke depan dapat digambarkan sebagai berikut:</w:t>
      </w:r>
    </w:p>
    <w:p w14:paraId="2BEF2354" w14:textId="77777777" w:rsidR="000C76E7" w:rsidRDefault="000C76E7" w:rsidP="000C76E7">
      <w:pPr>
        <w:pStyle w:val="ListParagraph"/>
        <w:pBdr>
          <w:top w:val="nil"/>
          <w:left w:val="nil"/>
          <w:bottom w:val="nil"/>
          <w:right w:val="nil"/>
          <w:between w:val="nil"/>
        </w:pBdr>
        <w:spacing w:line="275" w:lineRule="auto"/>
        <w:ind w:left="360"/>
        <w:jc w:val="both"/>
        <w:rPr>
          <w:rFonts w:ascii="Times New Roman" w:eastAsia="Google Sans" w:hAnsi="Times New Roman"/>
          <w:b/>
          <w:bCs/>
          <w:color w:val="1F1F1F"/>
          <w:sz w:val="24"/>
          <w:szCs w:val="24"/>
        </w:rPr>
      </w:pPr>
      <w:r w:rsidRPr="00624E9D">
        <w:rPr>
          <w:rFonts w:eastAsia="Google Sans"/>
          <w:noProof/>
        </w:rPr>
        <w:lastRenderedPageBreak/>
        <w:drawing>
          <wp:inline distT="0" distB="0" distL="0" distR="0" wp14:anchorId="47F5C41A" wp14:editId="3A70EC18">
            <wp:extent cx="5486400" cy="3200400"/>
            <wp:effectExtent l="38100" t="0" r="19050" b="19050"/>
            <wp:docPr id="130745935"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3B9966C8" w14:textId="77777777" w:rsidR="000C76E7" w:rsidRPr="000C76E7" w:rsidRDefault="000C76E7" w:rsidP="000C76E7">
      <w:pPr>
        <w:pStyle w:val="ListParagraph"/>
        <w:pBdr>
          <w:top w:val="nil"/>
          <w:left w:val="nil"/>
          <w:bottom w:val="nil"/>
          <w:right w:val="nil"/>
          <w:between w:val="nil"/>
        </w:pBdr>
        <w:spacing w:line="275" w:lineRule="auto"/>
        <w:ind w:left="360"/>
        <w:jc w:val="both"/>
        <w:rPr>
          <w:rFonts w:ascii="Times New Roman" w:eastAsia="Google Sans" w:hAnsi="Times New Roman"/>
          <w:b/>
          <w:bCs/>
          <w:color w:val="1F1F1F"/>
          <w:sz w:val="24"/>
          <w:szCs w:val="24"/>
        </w:rPr>
      </w:pPr>
    </w:p>
    <w:p w14:paraId="74284541" w14:textId="3F28084D" w:rsidR="000C76E7" w:rsidRPr="000C76E7" w:rsidRDefault="000C76E7" w:rsidP="000C76E7">
      <w:pPr>
        <w:pStyle w:val="ListParagraph"/>
        <w:pBdr>
          <w:top w:val="nil"/>
          <w:left w:val="nil"/>
          <w:bottom w:val="nil"/>
          <w:right w:val="nil"/>
          <w:between w:val="nil"/>
        </w:pBdr>
        <w:spacing w:line="275" w:lineRule="auto"/>
        <w:ind w:left="360" w:right="600"/>
        <w:jc w:val="both"/>
        <w:rPr>
          <w:rFonts w:ascii="Times New Roman" w:eastAsia="Google Sans" w:hAnsi="Times New Roman"/>
          <w:color w:val="1F1F1F"/>
          <w:sz w:val="24"/>
          <w:szCs w:val="24"/>
        </w:rPr>
      </w:pPr>
      <w:r w:rsidRPr="00624E9D">
        <w:rPr>
          <w:rFonts w:eastAsia="Google Sans"/>
          <w:noProof/>
        </w:rPr>
        <w:drawing>
          <wp:inline distT="0" distB="0" distL="0" distR="0" wp14:anchorId="191E159C" wp14:editId="322FC0B0">
            <wp:extent cx="5486400" cy="1684020"/>
            <wp:effectExtent l="38100" t="0" r="38100" b="11430"/>
            <wp:docPr id="196388665"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ermEnd w:id="341524484"/>
    <w:p w14:paraId="14A1DED7" w14:textId="77777777" w:rsidR="00467B12" w:rsidRDefault="00467B12" w:rsidP="00467B12">
      <w:pPr>
        <w:spacing w:before="120" w:after="0" w:line="240" w:lineRule="auto"/>
        <w:rPr>
          <w:rFonts w:ascii="Times New Roman" w:hAnsi="Times New Roman"/>
          <w:sz w:val="24"/>
        </w:rPr>
      </w:pPr>
    </w:p>
    <w:p w14:paraId="20EE9D33" w14:textId="77777777" w:rsidR="00585048" w:rsidRPr="00030A86" w:rsidRDefault="00585048" w:rsidP="00C54A54">
      <w:pPr>
        <w:spacing w:before="120" w:after="120" w:line="240" w:lineRule="auto"/>
        <w:rPr>
          <w:rFonts w:ascii="Times New Roman" w:hAnsi="Times New Roman"/>
          <w:b/>
          <w:sz w:val="24"/>
        </w:rPr>
      </w:pPr>
      <w:r w:rsidRPr="00030A86">
        <w:rPr>
          <w:rFonts w:ascii="Times New Roman" w:hAnsi="Times New Roman"/>
          <w:b/>
          <w:sz w:val="24"/>
        </w:rPr>
        <w:t>METODE</w:t>
      </w:r>
    </w:p>
    <w:p w14:paraId="7D115EC0" w14:textId="77777777" w:rsidR="006E33E2" w:rsidRPr="00585048" w:rsidRDefault="00030A86" w:rsidP="006E33E2">
      <w:pPr>
        <w:framePr w:w="9246" w:h="914" w:hSpace="187" w:wrap="around" w:vAnchor="text" w:hAnchor="page" w:x="1503" w:y="1"/>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szCs w:val="24"/>
        </w:rPr>
      </w:pPr>
      <w:r>
        <w:rPr>
          <w:rFonts w:ascii="Times New Roman" w:hAnsi="Times New Roman"/>
          <w:sz w:val="24"/>
          <w:szCs w:val="24"/>
        </w:rPr>
        <w:t>Isian m</w:t>
      </w:r>
      <w:r w:rsidR="00585048" w:rsidRPr="00585048">
        <w:rPr>
          <w:rFonts w:ascii="Times New Roman" w:hAnsi="Times New Roman"/>
          <w:sz w:val="24"/>
          <w:szCs w:val="24"/>
        </w:rPr>
        <w:t>etode atau cara untuk mencapai tujuan yang telah ditetapkan ditulis tidak melebihi 1000 kata. Bagian ini dapat dilengkapi dengan diagram alir penelitian yang menggambarkan apa yang sudah dilaksanakan dan yang akan dikerjakan selama waktu yang diusulkan. Metode penelitian harus dibuat secara utuh dengan penahapan yang jelas, mulai dari awal bagaimana proses dan luarannya, dan indikator capaian yang ditargetkan yang tercermin dalam Rencana Anggaran Biaya (RAB)</w:t>
      </w:r>
      <w:r w:rsidR="006E33E2" w:rsidRPr="00585048">
        <w:rPr>
          <w:rFonts w:ascii="Times New Roman" w:hAnsi="Times New Roman"/>
          <w:sz w:val="24"/>
          <w:szCs w:val="24"/>
        </w:rPr>
        <w:t xml:space="preserve">. </w:t>
      </w:r>
    </w:p>
    <w:p w14:paraId="3D3B55B0" w14:textId="77777777" w:rsidR="009B6465" w:rsidRPr="00624E9D" w:rsidRDefault="009B6465" w:rsidP="009B6465">
      <w:pPr>
        <w:pBdr>
          <w:top w:val="nil"/>
          <w:left w:val="nil"/>
          <w:bottom w:val="nil"/>
          <w:right w:val="nil"/>
          <w:between w:val="nil"/>
        </w:pBdr>
        <w:spacing w:line="275" w:lineRule="auto"/>
        <w:jc w:val="both"/>
        <w:rPr>
          <w:rFonts w:ascii="Times New Roman" w:eastAsia="Google Sans" w:hAnsi="Times New Roman"/>
          <w:color w:val="1F1F1F"/>
          <w:sz w:val="24"/>
          <w:szCs w:val="24"/>
        </w:rPr>
      </w:pPr>
      <w:permStart w:id="1255805791" w:edGrp="everyone"/>
      <w:r w:rsidRPr="00624E9D">
        <w:rPr>
          <w:rFonts w:ascii="Times New Roman" w:eastAsia="Google Sans" w:hAnsi="Times New Roman"/>
          <w:color w:val="1F1F1F"/>
          <w:sz w:val="24"/>
          <w:szCs w:val="24"/>
        </w:rPr>
        <w:t xml:space="preserve">Penelitian ini didesain sebagai penelitian kausalitas kuantitatif yang mengandalkan observasi data sekunder. Populasi penelitian mencakup seluruh kampanye penerbitan instrumen keuangan syariah yang terdaftar dan ditawarkan melalui platform </w:t>
      </w:r>
      <w:r w:rsidRPr="00624E9D">
        <w:rPr>
          <w:rFonts w:ascii="Times New Roman" w:eastAsia="Google Sans" w:hAnsi="Times New Roman"/>
          <w:i/>
          <w:iCs/>
          <w:color w:val="1F1F1F"/>
          <w:sz w:val="24"/>
          <w:szCs w:val="24"/>
        </w:rPr>
        <w:t>Securities Crowdfunding</w:t>
      </w:r>
      <w:r w:rsidRPr="00624E9D">
        <w:rPr>
          <w:rFonts w:ascii="Times New Roman" w:eastAsia="Google Sans" w:hAnsi="Times New Roman"/>
          <w:color w:val="1F1F1F"/>
          <w:sz w:val="24"/>
          <w:szCs w:val="24"/>
        </w:rPr>
        <w:t xml:space="preserve"> shafiq.id selama periode 2022 hingga awal 2025. Penarikan sampel menggunakan metode </w:t>
      </w:r>
      <w:r w:rsidRPr="00624E9D">
        <w:rPr>
          <w:rFonts w:ascii="Times New Roman" w:eastAsia="Google Sans" w:hAnsi="Times New Roman"/>
          <w:i/>
          <w:iCs/>
          <w:color w:val="1F1F1F"/>
          <w:sz w:val="24"/>
          <w:szCs w:val="24"/>
        </w:rPr>
        <w:t>purposive sampling</w:t>
      </w:r>
      <w:r w:rsidRPr="00624E9D">
        <w:rPr>
          <w:rFonts w:ascii="Times New Roman" w:eastAsia="Google Sans" w:hAnsi="Times New Roman"/>
          <w:color w:val="1F1F1F"/>
          <w:sz w:val="24"/>
          <w:szCs w:val="24"/>
        </w:rPr>
        <w:t xml:space="preserve"> berdasarkan kriteria inklusi: (1) Penawaran berupa instrumen Sukuk (bukan saham); (2) </w:t>
      </w:r>
      <w:r w:rsidRPr="00624E9D">
        <w:rPr>
          <w:rFonts w:ascii="Times New Roman" w:eastAsia="Google Sans" w:hAnsi="Times New Roman"/>
          <w:color w:val="1F1F1F"/>
          <w:sz w:val="24"/>
          <w:szCs w:val="24"/>
        </w:rPr>
        <w:lastRenderedPageBreak/>
        <w:t>Kampanye pendanaan telah berstatus selesai (</w:t>
      </w:r>
      <w:r w:rsidRPr="00624E9D">
        <w:rPr>
          <w:rFonts w:ascii="Times New Roman" w:eastAsia="Google Sans" w:hAnsi="Times New Roman"/>
          <w:i/>
          <w:iCs/>
          <w:color w:val="1F1F1F"/>
          <w:sz w:val="24"/>
          <w:szCs w:val="24"/>
        </w:rPr>
        <w:t>closed funding</w:t>
      </w:r>
      <w:r w:rsidRPr="00624E9D">
        <w:rPr>
          <w:rFonts w:ascii="Times New Roman" w:eastAsia="Google Sans" w:hAnsi="Times New Roman"/>
          <w:color w:val="1F1F1F"/>
          <w:sz w:val="24"/>
          <w:szCs w:val="24"/>
        </w:rPr>
        <w:t>); dan (3) Tersedia data spesifik yang relevan dan dapat diselaraskan dengan data bulanan penetapan suku bunga acuan (BI-Rate).</w:t>
      </w:r>
    </w:p>
    <w:p w14:paraId="285302F3" w14:textId="77777777" w:rsidR="009B6465" w:rsidRPr="00624E9D" w:rsidRDefault="009B6465" w:rsidP="009B6465">
      <w:pPr>
        <w:pBdr>
          <w:top w:val="nil"/>
          <w:left w:val="nil"/>
          <w:bottom w:val="nil"/>
          <w:right w:val="nil"/>
          <w:between w:val="nil"/>
        </w:pBdr>
        <w:spacing w:line="275" w:lineRule="auto"/>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 xml:space="preserve">Pendekatan </w:t>
      </w:r>
      <w:r w:rsidRPr="00624E9D">
        <w:rPr>
          <w:rFonts w:ascii="Times New Roman" w:eastAsia="Google Sans" w:hAnsi="Times New Roman"/>
          <w:i/>
          <w:iCs/>
          <w:color w:val="1F1F1F"/>
          <w:sz w:val="24"/>
          <w:szCs w:val="24"/>
        </w:rPr>
        <w:t>Partial Least Squares Structural Equation Modeling</w:t>
      </w:r>
      <w:r w:rsidRPr="00624E9D">
        <w:rPr>
          <w:rFonts w:ascii="Times New Roman" w:eastAsia="Google Sans" w:hAnsi="Times New Roman"/>
          <w:color w:val="1F1F1F"/>
          <w:sz w:val="24"/>
          <w:szCs w:val="24"/>
        </w:rPr>
        <w:t xml:space="preserve"> (PLS-SEM) dipilih karena kemampuannya yang sangat baik dalam mengakomodasi kerangka riset berbasis prediksi yang melibatkan variabel interaksi moderasi (</w:t>
      </w:r>
      <w:r w:rsidRPr="00624E9D">
        <w:rPr>
          <w:rFonts w:ascii="Times New Roman" w:eastAsia="Google Sans" w:hAnsi="Times New Roman"/>
          <w:i/>
          <w:iCs/>
          <w:color w:val="1F1F1F"/>
          <w:sz w:val="24"/>
          <w:szCs w:val="24"/>
        </w:rPr>
        <w:t>interaction effects</w:t>
      </w:r>
      <w:r w:rsidRPr="00624E9D">
        <w:rPr>
          <w:rFonts w:ascii="Times New Roman" w:eastAsia="Google Sans" w:hAnsi="Times New Roman"/>
          <w:color w:val="1F1F1F"/>
          <w:sz w:val="24"/>
          <w:szCs w:val="24"/>
        </w:rPr>
        <w:t>), tanpa mensyaratkan ketatnya asumsi distribusi normalitas multivariat pada data. Model konseptual jalur (</w:t>
      </w:r>
      <w:r w:rsidRPr="00624E9D">
        <w:rPr>
          <w:rFonts w:ascii="Times New Roman" w:eastAsia="Google Sans" w:hAnsi="Times New Roman"/>
          <w:i/>
          <w:iCs/>
          <w:color w:val="1F1F1F"/>
          <w:sz w:val="24"/>
          <w:szCs w:val="24"/>
        </w:rPr>
        <w:t>path model</w:t>
      </w:r>
      <w:r w:rsidRPr="00624E9D">
        <w:rPr>
          <w:rFonts w:ascii="Times New Roman" w:eastAsia="Google Sans" w:hAnsi="Times New Roman"/>
          <w:color w:val="1F1F1F"/>
          <w:sz w:val="24"/>
          <w:szCs w:val="24"/>
        </w:rPr>
        <w:t>) dalam penelitian ini mencakup:</w:t>
      </w:r>
    </w:p>
    <w:p w14:paraId="72D2C9A5" w14:textId="77777777" w:rsidR="009B6465" w:rsidRPr="009B6465" w:rsidRDefault="009B6465" w:rsidP="009B6465">
      <w:pPr>
        <w:pStyle w:val="ListParagraph"/>
        <w:widowControl w:val="0"/>
        <w:numPr>
          <w:ilvl w:val="0"/>
          <w:numId w:val="8"/>
        </w:numPr>
        <w:pBdr>
          <w:top w:val="nil"/>
          <w:left w:val="nil"/>
          <w:bottom w:val="nil"/>
          <w:right w:val="nil"/>
          <w:between w:val="nil"/>
        </w:pBdr>
        <w:spacing w:after="0" w:line="275" w:lineRule="auto"/>
        <w:ind w:left="426" w:hanging="284"/>
        <w:jc w:val="both"/>
        <w:rPr>
          <w:rFonts w:ascii="Times New Roman" w:hAnsi="Times New Roman"/>
          <w:sz w:val="24"/>
          <w:szCs w:val="24"/>
        </w:rPr>
      </w:pPr>
      <w:r w:rsidRPr="009B6465">
        <w:rPr>
          <w:rFonts w:ascii="Times New Roman" w:eastAsia="Google Sans" w:hAnsi="Times New Roman"/>
          <w:color w:val="1F1F1F"/>
          <w:sz w:val="24"/>
          <w:szCs w:val="24"/>
        </w:rPr>
        <w:t>Variabel Eksogen: Tingkat ROI, Tenor Sukuk (TS), dan Nilai Pendanaan (NP - ditransformasi ke dalam bentuk Logaritma Natural untuk standardisasi skala data).</w:t>
      </w:r>
    </w:p>
    <w:p w14:paraId="33BC2D67" w14:textId="77777777" w:rsidR="009B6465" w:rsidRPr="009B6465" w:rsidRDefault="009B6465" w:rsidP="009B6465">
      <w:pPr>
        <w:pStyle w:val="ListParagraph"/>
        <w:widowControl w:val="0"/>
        <w:numPr>
          <w:ilvl w:val="0"/>
          <w:numId w:val="8"/>
        </w:numPr>
        <w:pBdr>
          <w:top w:val="nil"/>
          <w:left w:val="nil"/>
          <w:bottom w:val="nil"/>
          <w:right w:val="nil"/>
          <w:between w:val="nil"/>
        </w:pBdr>
        <w:spacing w:after="0" w:line="275" w:lineRule="auto"/>
        <w:ind w:left="426" w:hanging="284"/>
        <w:jc w:val="both"/>
        <w:rPr>
          <w:rFonts w:ascii="Times New Roman" w:hAnsi="Times New Roman"/>
          <w:sz w:val="24"/>
          <w:szCs w:val="24"/>
        </w:rPr>
      </w:pPr>
      <w:r w:rsidRPr="009B6465">
        <w:rPr>
          <w:rFonts w:ascii="Times New Roman" w:eastAsia="Google Sans" w:hAnsi="Times New Roman"/>
          <w:color w:val="1F1F1F"/>
          <w:sz w:val="24"/>
          <w:szCs w:val="24"/>
        </w:rPr>
        <w:t>Variabel Endogen: Jumlah Partisipasi Pemodal (Y).</w:t>
      </w:r>
    </w:p>
    <w:p w14:paraId="59F19902" w14:textId="5526A64E" w:rsidR="009B6465" w:rsidRPr="009B6465" w:rsidRDefault="009B6465" w:rsidP="009B6465">
      <w:pPr>
        <w:pStyle w:val="ListParagraph"/>
        <w:widowControl w:val="0"/>
        <w:numPr>
          <w:ilvl w:val="0"/>
          <w:numId w:val="8"/>
        </w:numPr>
        <w:pBdr>
          <w:top w:val="nil"/>
          <w:left w:val="nil"/>
          <w:bottom w:val="nil"/>
          <w:right w:val="nil"/>
          <w:between w:val="nil"/>
        </w:pBdr>
        <w:spacing w:after="0" w:line="275" w:lineRule="auto"/>
        <w:ind w:left="426" w:hanging="284"/>
        <w:jc w:val="both"/>
        <w:rPr>
          <w:rFonts w:ascii="Times New Roman" w:hAnsi="Times New Roman"/>
          <w:sz w:val="24"/>
          <w:szCs w:val="24"/>
        </w:rPr>
      </w:pPr>
      <w:r w:rsidRPr="009B6465">
        <w:rPr>
          <w:rFonts w:ascii="Times New Roman" w:eastAsia="Google Sans" w:hAnsi="Times New Roman"/>
          <w:color w:val="1F1F1F"/>
          <w:sz w:val="24"/>
          <w:szCs w:val="24"/>
        </w:rPr>
        <w:t>Variabel Moderasi: BI-Rate (BR), sebagai variabel rasio persentase (%) suku bunga acuan pada momentum instrumen ditawarkan.</w:t>
      </w:r>
    </w:p>
    <w:p w14:paraId="2487B4D3" w14:textId="77777777" w:rsidR="009B6465" w:rsidRPr="00624E9D" w:rsidRDefault="009B6465" w:rsidP="009B6465">
      <w:pPr>
        <w:pBdr>
          <w:top w:val="nil"/>
          <w:left w:val="nil"/>
          <w:bottom w:val="nil"/>
          <w:right w:val="nil"/>
          <w:between w:val="nil"/>
        </w:pBdr>
        <w:spacing w:line="275" w:lineRule="auto"/>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 xml:space="preserve">Data dianalisis menggunakan </w:t>
      </w:r>
      <w:r w:rsidRPr="00624E9D">
        <w:rPr>
          <w:rFonts w:ascii="Times New Roman" w:eastAsia="Google Sans" w:hAnsi="Times New Roman"/>
          <w:i/>
          <w:iCs/>
          <w:color w:val="1F1F1F"/>
          <w:sz w:val="24"/>
          <w:szCs w:val="24"/>
        </w:rPr>
        <w:t>software</w:t>
      </w:r>
      <w:r w:rsidRPr="00624E9D">
        <w:rPr>
          <w:rFonts w:ascii="Times New Roman" w:eastAsia="Google Sans" w:hAnsi="Times New Roman"/>
          <w:color w:val="1F1F1F"/>
          <w:sz w:val="24"/>
          <w:szCs w:val="24"/>
        </w:rPr>
        <w:t xml:space="preserve"> </w:t>
      </w:r>
      <w:r w:rsidRPr="00624E9D">
        <w:rPr>
          <w:rFonts w:ascii="Times New Roman" w:eastAsia="Google Sans" w:hAnsi="Times New Roman"/>
          <w:b/>
          <w:bCs/>
          <w:color w:val="1F1F1F"/>
          <w:sz w:val="24"/>
          <w:szCs w:val="24"/>
        </w:rPr>
        <w:t>SmartPLS</w:t>
      </w:r>
      <w:r w:rsidRPr="00624E9D">
        <w:rPr>
          <w:rFonts w:ascii="Times New Roman" w:eastAsia="Google Sans" w:hAnsi="Times New Roman"/>
          <w:color w:val="1F1F1F"/>
          <w:sz w:val="24"/>
          <w:szCs w:val="24"/>
        </w:rPr>
        <w:t>. Mengingat penggunaan data sekunder berupa data mutlak/indikator tunggal (</w:t>
      </w:r>
      <w:r w:rsidRPr="00624E9D">
        <w:rPr>
          <w:rFonts w:ascii="Times New Roman" w:eastAsia="Google Sans" w:hAnsi="Times New Roman"/>
          <w:i/>
          <w:iCs/>
          <w:color w:val="1F1F1F"/>
          <w:sz w:val="24"/>
          <w:szCs w:val="24"/>
        </w:rPr>
        <w:t>single indicator construct</w:t>
      </w:r>
      <w:r w:rsidRPr="00624E9D">
        <w:rPr>
          <w:rFonts w:ascii="Times New Roman" w:eastAsia="Google Sans" w:hAnsi="Times New Roman"/>
          <w:color w:val="1F1F1F"/>
          <w:sz w:val="24"/>
          <w:szCs w:val="24"/>
        </w:rPr>
        <w:t>), maka evaluasi model pengukuran (</w:t>
      </w:r>
      <w:r w:rsidRPr="00624E9D">
        <w:rPr>
          <w:rFonts w:ascii="Times New Roman" w:eastAsia="Google Sans" w:hAnsi="Times New Roman"/>
          <w:i/>
          <w:iCs/>
          <w:color w:val="1F1F1F"/>
          <w:sz w:val="24"/>
          <w:szCs w:val="24"/>
        </w:rPr>
        <w:t>outer model</w:t>
      </w:r>
      <w:r w:rsidRPr="00624E9D">
        <w:rPr>
          <w:rFonts w:ascii="Times New Roman" w:eastAsia="Google Sans" w:hAnsi="Times New Roman"/>
          <w:color w:val="1F1F1F"/>
          <w:sz w:val="24"/>
          <w:szCs w:val="24"/>
        </w:rPr>
        <w:t>) diasumsikan valid dan reliabel secara inheren. Oleh karena itu, tahapan analisis langsung difokuskan pada:</w:t>
      </w:r>
    </w:p>
    <w:p w14:paraId="0530C6FE" w14:textId="77777777" w:rsidR="009B6465" w:rsidRPr="00624E9D" w:rsidRDefault="009B6465" w:rsidP="009B6465">
      <w:pPr>
        <w:widowControl w:val="0"/>
        <w:numPr>
          <w:ilvl w:val="0"/>
          <w:numId w:val="7"/>
        </w:numPr>
        <w:pBdr>
          <w:top w:val="nil"/>
          <w:left w:val="nil"/>
          <w:bottom w:val="nil"/>
          <w:right w:val="nil"/>
          <w:between w:val="nil"/>
        </w:pBdr>
        <w:spacing w:after="0" w:line="275" w:lineRule="auto"/>
        <w:jc w:val="both"/>
        <w:rPr>
          <w:rFonts w:ascii="Times New Roman" w:hAnsi="Times New Roman"/>
          <w:sz w:val="24"/>
          <w:szCs w:val="24"/>
        </w:rPr>
      </w:pPr>
      <w:r w:rsidRPr="00624E9D">
        <w:rPr>
          <w:rFonts w:ascii="Times New Roman" w:eastAsia="Google Sans" w:hAnsi="Times New Roman"/>
          <w:b/>
          <w:bCs/>
          <w:color w:val="1F1F1F"/>
          <w:sz w:val="24"/>
          <w:szCs w:val="24"/>
        </w:rPr>
        <w:t>Analisis Statistik Deskriptif:</w:t>
      </w:r>
      <w:r w:rsidRPr="00624E9D">
        <w:rPr>
          <w:rFonts w:ascii="Times New Roman" w:eastAsia="Google Sans" w:hAnsi="Times New Roman"/>
          <w:color w:val="1F1F1F"/>
          <w:sz w:val="24"/>
          <w:szCs w:val="24"/>
        </w:rPr>
        <w:t xml:space="preserve"> Mengkaji sebaran data melalui nilai minimum, maksimum, rata-rata (</w:t>
      </w:r>
      <w:r w:rsidRPr="00624E9D">
        <w:rPr>
          <w:rFonts w:ascii="Times New Roman" w:eastAsia="Google Sans" w:hAnsi="Times New Roman"/>
          <w:i/>
          <w:iCs/>
          <w:color w:val="1F1F1F"/>
          <w:sz w:val="24"/>
          <w:szCs w:val="24"/>
        </w:rPr>
        <w:t>mean</w:t>
      </w:r>
      <w:r w:rsidRPr="00624E9D">
        <w:rPr>
          <w:rFonts w:ascii="Times New Roman" w:eastAsia="Google Sans" w:hAnsi="Times New Roman"/>
          <w:color w:val="1F1F1F"/>
          <w:sz w:val="24"/>
          <w:szCs w:val="24"/>
        </w:rPr>
        <w:t>), dan standar deviasi dari masing-masing variabel penelitian.</w:t>
      </w:r>
    </w:p>
    <w:p w14:paraId="3B4EA490" w14:textId="77777777" w:rsidR="009B6465" w:rsidRPr="00624E9D" w:rsidRDefault="009B6465" w:rsidP="009B6465">
      <w:pPr>
        <w:widowControl w:val="0"/>
        <w:numPr>
          <w:ilvl w:val="0"/>
          <w:numId w:val="7"/>
        </w:numPr>
        <w:pBdr>
          <w:top w:val="nil"/>
          <w:left w:val="nil"/>
          <w:bottom w:val="nil"/>
          <w:right w:val="nil"/>
          <w:between w:val="nil"/>
        </w:pBdr>
        <w:spacing w:after="0" w:line="275" w:lineRule="auto"/>
        <w:jc w:val="both"/>
        <w:rPr>
          <w:rFonts w:ascii="Times New Roman" w:hAnsi="Times New Roman"/>
          <w:sz w:val="24"/>
          <w:szCs w:val="24"/>
        </w:rPr>
      </w:pPr>
      <w:r w:rsidRPr="00624E9D">
        <w:rPr>
          <w:rFonts w:ascii="Times New Roman" w:eastAsia="Google Sans" w:hAnsi="Times New Roman"/>
          <w:b/>
          <w:bCs/>
          <w:color w:val="1F1F1F"/>
          <w:sz w:val="24"/>
          <w:szCs w:val="24"/>
        </w:rPr>
        <w:t>Evaluasi Model Struktural (</w:t>
      </w:r>
      <w:r w:rsidRPr="00624E9D">
        <w:rPr>
          <w:rFonts w:ascii="Times New Roman" w:eastAsia="Google Sans" w:hAnsi="Times New Roman"/>
          <w:b/>
          <w:bCs/>
          <w:i/>
          <w:iCs/>
          <w:color w:val="1F1F1F"/>
          <w:sz w:val="24"/>
          <w:szCs w:val="24"/>
        </w:rPr>
        <w:t>Inner Model</w:t>
      </w:r>
      <w:r w:rsidRPr="00624E9D">
        <w:rPr>
          <w:rFonts w:ascii="Times New Roman" w:eastAsia="Google Sans" w:hAnsi="Times New Roman"/>
          <w:b/>
          <w:bCs/>
          <w:color w:val="1F1F1F"/>
          <w:sz w:val="24"/>
          <w:szCs w:val="24"/>
        </w:rPr>
        <w:t>):</w:t>
      </w:r>
      <w:r w:rsidRPr="00624E9D">
        <w:rPr>
          <w:rFonts w:ascii="Times New Roman" w:eastAsia="Google Sans" w:hAnsi="Times New Roman"/>
          <w:color w:val="1F1F1F"/>
          <w:sz w:val="24"/>
          <w:szCs w:val="24"/>
        </w:rPr>
        <w:t xml:space="preserve"> Menilai kekuatan arsitektur model melalui koefisien determinasi (</w:t>
      </w:r>
      <w:r w:rsidRPr="00624E9D">
        <w:rPr>
          <w:rFonts w:ascii="Times New Roman" w:eastAsia="Google Sans" w:hAnsi="Times New Roman"/>
          <w:noProof/>
          <w:color w:val="1F1F1F"/>
          <w:sz w:val="24"/>
          <w:szCs w:val="24"/>
        </w:rPr>
        <w:t>R</w:t>
      </w:r>
      <w:r w:rsidRPr="00624E9D">
        <w:rPr>
          <w:rFonts w:ascii="Times New Roman" w:eastAsia="Google Sans" w:hAnsi="Times New Roman"/>
          <w:noProof/>
          <w:color w:val="1F1F1F"/>
          <w:sz w:val="24"/>
          <w:szCs w:val="24"/>
          <w:vertAlign w:val="superscript"/>
        </w:rPr>
        <w:t>2</w:t>
      </w:r>
      <w:r w:rsidRPr="00624E9D">
        <w:rPr>
          <w:rFonts w:ascii="Times New Roman" w:eastAsia="Google Sans" w:hAnsi="Times New Roman"/>
          <w:color w:val="1F1F1F"/>
          <w:sz w:val="24"/>
          <w:szCs w:val="24"/>
        </w:rPr>
        <w:t xml:space="preserve">) untuk mengukur varians variabel endogen yang dapat dijelaskan, </w:t>
      </w:r>
      <w:r w:rsidRPr="00624E9D">
        <w:rPr>
          <w:rFonts w:ascii="Times New Roman" w:eastAsia="Google Sans" w:hAnsi="Times New Roman"/>
          <w:i/>
          <w:iCs/>
          <w:color w:val="1F1F1F"/>
          <w:sz w:val="24"/>
          <w:szCs w:val="24"/>
        </w:rPr>
        <w:t>effect size</w:t>
      </w:r>
      <w:r w:rsidRPr="00624E9D">
        <w:rPr>
          <w:rFonts w:ascii="Times New Roman" w:eastAsia="Google Sans" w:hAnsi="Times New Roman"/>
          <w:color w:val="1F1F1F"/>
          <w:sz w:val="24"/>
          <w:szCs w:val="24"/>
        </w:rPr>
        <w:t xml:space="preserve"> (</w:t>
      </w:r>
      <w:r w:rsidRPr="00624E9D">
        <w:rPr>
          <w:rFonts w:ascii="Times New Roman" w:eastAsia="Google Sans" w:hAnsi="Times New Roman"/>
          <w:noProof/>
          <w:color w:val="1F1F1F"/>
          <w:sz w:val="24"/>
          <w:szCs w:val="24"/>
        </w:rPr>
        <w:t>f</w:t>
      </w:r>
      <w:r w:rsidRPr="00624E9D">
        <w:rPr>
          <w:rFonts w:ascii="Times New Roman" w:eastAsia="Google Sans" w:hAnsi="Times New Roman"/>
          <w:noProof/>
          <w:color w:val="1F1F1F"/>
          <w:sz w:val="24"/>
          <w:szCs w:val="24"/>
          <w:vertAlign w:val="superscript"/>
        </w:rPr>
        <w:t>2</w:t>
      </w:r>
      <w:r w:rsidRPr="00624E9D">
        <w:rPr>
          <w:rFonts w:ascii="Times New Roman" w:eastAsia="Google Sans" w:hAnsi="Times New Roman"/>
          <w:color w:val="1F1F1F"/>
          <w:sz w:val="24"/>
          <w:szCs w:val="24"/>
        </w:rPr>
        <w:t xml:space="preserve">) untuk menilai signifikansi praktis eksogen, dan </w:t>
      </w:r>
      <w:r w:rsidRPr="00624E9D">
        <w:rPr>
          <w:rFonts w:ascii="Times New Roman" w:eastAsia="Google Sans" w:hAnsi="Times New Roman"/>
          <w:i/>
          <w:iCs/>
          <w:color w:val="1F1F1F"/>
          <w:sz w:val="24"/>
          <w:szCs w:val="24"/>
        </w:rPr>
        <w:t>predictive relevance</w:t>
      </w:r>
      <w:r w:rsidRPr="00624E9D">
        <w:rPr>
          <w:rFonts w:ascii="Times New Roman" w:eastAsia="Google Sans" w:hAnsi="Times New Roman"/>
          <w:color w:val="1F1F1F"/>
          <w:sz w:val="24"/>
          <w:szCs w:val="24"/>
        </w:rPr>
        <w:t xml:space="preserve"> (</w:t>
      </w:r>
      <w:r w:rsidRPr="00624E9D">
        <w:rPr>
          <w:rFonts w:ascii="Times New Roman" w:eastAsia="Google Sans" w:hAnsi="Times New Roman"/>
          <w:noProof/>
          <w:color w:val="1F1F1F"/>
          <w:sz w:val="24"/>
          <w:szCs w:val="24"/>
        </w:rPr>
        <w:t>Q</w:t>
      </w:r>
      <w:r w:rsidRPr="00624E9D">
        <w:rPr>
          <w:rFonts w:ascii="Times New Roman" w:eastAsia="Google Sans" w:hAnsi="Times New Roman"/>
          <w:noProof/>
          <w:color w:val="1F1F1F"/>
          <w:sz w:val="24"/>
          <w:szCs w:val="24"/>
          <w:vertAlign w:val="superscript"/>
        </w:rPr>
        <w:t>2</w:t>
      </w:r>
      <w:r w:rsidRPr="00624E9D">
        <w:rPr>
          <w:rFonts w:ascii="Times New Roman" w:eastAsia="Google Sans" w:hAnsi="Times New Roman"/>
          <w:color w:val="1F1F1F"/>
          <w:sz w:val="24"/>
          <w:szCs w:val="24"/>
        </w:rPr>
        <w:t>) guna memvalidasi ketepatan prediksi model.</w:t>
      </w:r>
    </w:p>
    <w:p w14:paraId="530BFB2F" w14:textId="77777777" w:rsidR="009B6465" w:rsidRPr="00624E9D" w:rsidRDefault="009B6465" w:rsidP="009B6465">
      <w:pPr>
        <w:widowControl w:val="0"/>
        <w:numPr>
          <w:ilvl w:val="0"/>
          <w:numId w:val="7"/>
        </w:numPr>
        <w:pBdr>
          <w:top w:val="nil"/>
          <w:left w:val="nil"/>
          <w:bottom w:val="nil"/>
          <w:right w:val="nil"/>
          <w:between w:val="nil"/>
        </w:pBdr>
        <w:spacing w:after="0" w:line="275" w:lineRule="auto"/>
        <w:jc w:val="both"/>
        <w:rPr>
          <w:rFonts w:ascii="Times New Roman" w:hAnsi="Times New Roman"/>
          <w:sz w:val="24"/>
          <w:szCs w:val="24"/>
        </w:rPr>
      </w:pPr>
      <w:r w:rsidRPr="00624E9D">
        <w:rPr>
          <w:rFonts w:ascii="Times New Roman" w:eastAsia="Google Sans" w:hAnsi="Times New Roman"/>
          <w:b/>
          <w:bCs/>
          <w:color w:val="1F1F1F"/>
          <w:sz w:val="24"/>
          <w:szCs w:val="24"/>
        </w:rPr>
        <w:t>Pengujian Hipotesis (</w:t>
      </w:r>
      <w:r w:rsidRPr="00624E9D">
        <w:rPr>
          <w:rFonts w:ascii="Times New Roman" w:eastAsia="Google Sans" w:hAnsi="Times New Roman"/>
          <w:b/>
          <w:bCs/>
          <w:i/>
          <w:iCs/>
          <w:color w:val="1F1F1F"/>
          <w:sz w:val="24"/>
          <w:szCs w:val="24"/>
        </w:rPr>
        <w:t>Direct Effect</w:t>
      </w:r>
      <w:r w:rsidRPr="00624E9D">
        <w:rPr>
          <w:rFonts w:ascii="Times New Roman" w:eastAsia="Google Sans" w:hAnsi="Times New Roman"/>
          <w:b/>
          <w:bCs/>
          <w:color w:val="1F1F1F"/>
          <w:sz w:val="24"/>
          <w:szCs w:val="24"/>
        </w:rPr>
        <w:t>):</w:t>
      </w:r>
      <w:r w:rsidRPr="00624E9D">
        <w:rPr>
          <w:rFonts w:ascii="Times New Roman" w:eastAsia="Google Sans" w:hAnsi="Times New Roman"/>
          <w:color w:val="1F1F1F"/>
          <w:sz w:val="24"/>
          <w:szCs w:val="24"/>
        </w:rPr>
        <w:t xml:space="preserve"> Dijalankan melalui prosedur </w:t>
      </w:r>
      <w:r w:rsidRPr="00624E9D">
        <w:rPr>
          <w:rFonts w:ascii="Times New Roman" w:eastAsia="Google Sans" w:hAnsi="Times New Roman"/>
          <w:i/>
          <w:iCs/>
          <w:color w:val="1F1F1F"/>
          <w:sz w:val="24"/>
          <w:szCs w:val="24"/>
        </w:rPr>
        <w:t>Bootstrapping</w:t>
      </w:r>
      <w:r w:rsidRPr="00624E9D">
        <w:rPr>
          <w:rFonts w:ascii="Times New Roman" w:eastAsia="Google Sans" w:hAnsi="Times New Roman"/>
          <w:color w:val="1F1F1F"/>
          <w:sz w:val="24"/>
          <w:szCs w:val="24"/>
        </w:rPr>
        <w:t xml:space="preserve"> dengan pengulangan 5.000 subsampel untuk menghasilkan nilai </w:t>
      </w:r>
      <w:r w:rsidRPr="00624E9D">
        <w:rPr>
          <w:rFonts w:ascii="Times New Roman" w:eastAsia="Google Sans" w:hAnsi="Times New Roman"/>
          <w:i/>
          <w:iCs/>
          <w:color w:val="1F1F1F"/>
          <w:sz w:val="24"/>
          <w:szCs w:val="24"/>
        </w:rPr>
        <w:t>path coefficient</w:t>
      </w:r>
      <w:r w:rsidRPr="00624E9D">
        <w:rPr>
          <w:rFonts w:ascii="Times New Roman" w:eastAsia="Google Sans" w:hAnsi="Times New Roman"/>
          <w:color w:val="1F1F1F"/>
          <w:sz w:val="24"/>
          <w:szCs w:val="24"/>
        </w:rPr>
        <w:t xml:space="preserve">, </w:t>
      </w:r>
      <w:r w:rsidRPr="00624E9D">
        <w:rPr>
          <w:rFonts w:ascii="Times New Roman" w:eastAsia="Google Sans" w:hAnsi="Times New Roman"/>
          <w:i/>
          <w:iCs/>
          <w:color w:val="1F1F1F"/>
          <w:sz w:val="24"/>
          <w:szCs w:val="24"/>
        </w:rPr>
        <w:t>T-statistics</w:t>
      </w:r>
      <w:r w:rsidRPr="00624E9D">
        <w:rPr>
          <w:rFonts w:ascii="Times New Roman" w:eastAsia="Google Sans" w:hAnsi="Times New Roman"/>
          <w:color w:val="1F1F1F"/>
          <w:sz w:val="24"/>
          <w:szCs w:val="24"/>
        </w:rPr>
        <w:t xml:space="preserve">, dan </w:t>
      </w:r>
      <w:r w:rsidRPr="00624E9D">
        <w:rPr>
          <w:rFonts w:ascii="Times New Roman" w:eastAsia="Google Sans" w:hAnsi="Times New Roman"/>
          <w:i/>
          <w:iCs/>
          <w:color w:val="1F1F1F"/>
          <w:sz w:val="24"/>
          <w:szCs w:val="24"/>
        </w:rPr>
        <w:t>P-values</w:t>
      </w:r>
      <w:r w:rsidRPr="00624E9D">
        <w:rPr>
          <w:rFonts w:ascii="Times New Roman" w:eastAsia="Google Sans" w:hAnsi="Times New Roman"/>
          <w:color w:val="1F1F1F"/>
          <w:sz w:val="24"/>
          <w:szCs w:val="24"/>
        </w:rPr>
        <w:t xml:space="preserve">. Suatu hipotesis dinyatakan terdukung apabila </w:t>
      </w:r>
      <w:r w:rsidRPr="00624E9D">
        <w:rPr>
          <w:rFonts w:ascii="Times New Roman" w:eastAsia="Google Sans" w:hAnsi="Times New Roman"/>
          <w:i/>
          <w:iCs/>
          <w:color w:val="1F1F1F"/>
          <w:sz w:val="24"/>
          <w:szCs w:val="24"/>
        </w:rPr>
        <w:t>P-value</w:t>
      </w:r>
      <w:r w:rsidRPr="00624E9D">
        <w:rPr>
          <w:rFonts w:ascii="Times New Roman" w:eastAsia="Google Sans" w:hAnsi="Times New Roman"/>
          <w:color w:val="1F1F1F"/>
          <w:sz w:val="24"/>
          <w:szCs w:val="24"/>
        </w:rPr>
        <w:t xml:space="preserve"> &lt; 0,05 dan </w:t>
      </w:r>
      <w:r w:rsidRPr="00624E9D">
        <w:rPr>
          <w:rFonts w:ascii="Times New Roman" w:eastAsia="Google Sans" w:hAnsi="Times New Roman"/>
          <w:i/>
          <w:iCs/>
          <w:color w:val="1F1F1F"/>
          <w:sz w:val="24"/>
          <w:szCs w:val="24"/>
        </w:rPr>
        <w:t>T-statistics</w:t>
      </w:r>
      <w:r w:rsidRPr="00624E9D">
        <w:rPr>
          <w:rFonts w:ascii="Times New Roman" w:eastAsia="Google Sans" w:hAnsi="Times New Roman"/>
          <w:color w:val="1F1F1F"/>
          <w:sz w:val="24"/>
          <w:szCs w:val="24"/>
        </w:rPr>
        <w:t xml:space="preserve"> &gt; 1,96.</w:t>
      </w:r>
    </w:p>
    <w:p w14:paraId="1E6CF8EB" w14:textId="5AC28DF0" w:rsidR="00CB183F" w:rsidRPr="000973E5" w:rsidRDefault="009B6465" w:rsidP="000973E5">
      <w:pPr>
        <w:widowControl w:val="0"/>
        <w:numPr>
          <w:ilvl w:val="0"/>
          <w:numId w:val="7"/>
        </w:numPr>
        <w:pBdr>
          <w:top w:val="nil"/>
          <w:left w:val="nil"/>
          <w:bottom w:val="nil"/>
          <w:right w:val="nil"/>
          <w:between w:val="nil"/>
        </w:pBdr>
        <w:spacing w:after="0" w:line="275" w:lineRule="auto"/>
        <w:jc w:val="both"/>
        <w:rPr>
          <w:rFonts w:ascii="Times New Roman" w:hAnsi="Times New Roman"/>
          <w:sz w:val="24"/>
          <w:szCs w:val="24"/>
        </w:rPr>
      </w:pPr>
      <w:r w:rsidRPr="00624E9D">
        <w:rPr>
          <w:rFonts w:ascii="Times New Roman" w:eastAsia="Google Sans" w:hAnsi="Times New Roman"/>
          <w:b/>
          <w:bCs/>
          <w:color w:val="1F1F1F"/>
          <w:sz w:val="24"/>
          <w:szCs w:val="24"/>
        </w:rPr>
        <w:t>Pengujian Efek Moderasi:</w:t>
      </w:r>
      <w:r w:rsidRPr="00624E9D">
        <w:rPr>
          <w:rFonts w:ascii="Times New Roman" w:eastAsia="Google Sans" w:hAnsi="Times New Roman"/>
          <w:color w:val="1F1F1F"/>
          <w:sz w:val="24"/>
          <w:szCs w:val="24"/>
        </w:rPr>
        <w:t xml:space="preserve"> Variabel BI-Rate bersifat kontinu, sehingga analisis moderasi diterapkan menggunakan pendekatan </w:t>
      </w:r>
      <w:r w:rsidRPr="00624E9D">
        <w:rPr>
          <w:rFonts w:ascii="Times New Roman" w:eastAsia="Google Sans" w:hAnsi="Times New Roman"/>
          <w:i/>
          <w:iCs/>
          <w:color w:val="1F1F1F"/>
          <w:sz w:val="24"/>
          <w:szCs w:val="24"/>
        </w:rPr>
        <w:t>Product Indicator / Two-Stage Approach</w:t>
      </w:r>
      <w:r w:rsidRPr="00624E9D">
        <w:rPr>
          <w:rFonts w:ascii="Times New Roman" w:eastAsia="Google Sans" w:hAnsi="Times New Roman"/>
          <w:color w:val="1F1F1F"/>
          <w:sz w:val="24"/>
          <w:szCs w:val="24"/>
        </w:rPr>
        <w:t>. Proses ini mengalikan nilai indikator variabel eksogen dengan indikator moderator (ROI*BR, TS*BR, NP*BR), yang selanjutnya di-</w:t>
      </w:r>
      <w:r w:rsidRPr="00624E9D">
        <w:rPr>
          <w:rFonts w:ascii="Times New Roman" w:eastAsia="Google Sans" w:hAnsi="Times New Roman"/>
          <w:i/>
          <w:iCs/>
          <w:color w:val="1F1F1F"/>
          <w:sz w:val="24"/>
          <w:szCs w:val="24"/>
        </w:rPr>
        <w:t>bootstrapping</w:t>
      </w:r>
      <w:r w:rsidRPr="00624E9D">
        <w:rPr>
          <w:rFonts w:ascii="Times New Roman" w:eastAsia="Google Sans" w:hAnsi="Times New Roman"/>
          <w:color w:val="1F1F1F"/>
          <w:sz w:val="24"/>
          <w:szCs w:val="24"/>
        </w:rPr>
        <w:t xml:space="preserve"> untuk mengonfirmasi signifikansi perannya dalam memperkuat atau memperlemah hubungan kausalitas terhadap partisipasi pemodal.</w:t>
      </w:r>
    </w:p>
    <w:permEnd w:id="1255805791"/>
    <w:p w14:paraId="55960AF0" w14:textId="77777777" w:rsidR="001C1F6C" w:rsidRDefault="001C1F6C" w:rsidP="004036C4">
      <w:pPr>
        <w:spacing w:after="0" w:line="240" w:lineRule="auto"/>
        <w:rPr>
          <w:rFonts w:ascii="Times New Roman" w:hAnsi="Times New Roman"/>
          <w:sz w:val="24"/>
        </w:rPr>
      </w:pPr>
    </w:p>
    <w:p w14:paraId="782E8289" w14:textId="77777777" w:rsidR="00B5336F" w:rsidRPr="00FC6031" w:rsidRDefault="00B5336F" w:rsidP="00B5336F">
      <w:pPr>
        <w:spacing w:before="120" w:after="120" w:line="240" w:lineRule="auto"/>
        <w:rPr>
          <w:rFonts w:ascii="Times New Roman" w:hAnsi="Times New Roman"/>
          <w:b/>
          <w:sz w:val="24"/>
        </w:rPr>
      </w:pPr>
      <w:r w:rsidRPr="00FC6031">
        <w:rPr>
          <w:rFonts w:ascii="Times New Roman" w:hAnsi="Times New Roman"/>
          <w:b/>
          <w:sz w:val="24"/>
        </w:rPr>
        <w:t>JADWAL PENELITIAN</w:t>
      </w:r>
    </w:p>
    <w:p w14:paraId="2B52AA72" w14:textId="77777777" w:rsidR="006E33E2" w:rsidRPr="00D32AD0" w:rsidRDefault="00DA3DCB" w:rsidP="006E33E2">
      <w:pPr>
        <w:framePr w:w="9246" w:h="677" w:hSpace="187" w:wrap="around" w:vAnchor="text" w:hAnchor="page" w:x="1503" w:y="1"/>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rPr>
      </w:pPr>
      <w:r>
        <w:rPr>
          <w:rFonts w:ascii="Times New Roman" w:hAnsi="Times New Roman"/>
          <w:sz w:val="24"/>
        </w:rPr>
        <w:t>J</w:t>
      </w:r>
      <w:r w:rsidR="006E33E2" w:rsidRPr="006E33E2">
        <w:rPr>
          <w:rFonts w:ascii="Times New Roman" w:hAnsi="Times New Roman"/>
          <w:sz w:val="24"/>
        </w:rPr>
        <w:t xml:space="preserve">adwal penelitian disusun </w:t>
      </w:r>
      <w:r w:rsidR="002B69E3" w:rsidRPr="002B69E3">
        <w:rPr>
          <w:rFonts w:ascii="Times New Roman" w:hAnsi="Times New Roman"/>
          <w:sz w:val="24"/>
        </w:rPr>
        <w:t>berdasarkan pelaksanaan penelitian</w:t>
      </w:r>
      <w:r w:rsidR="002B69E3">
        <w:rPr>
          <w:rFonts w:ascii="Times New Roman" w:hAnsi="Times New Roman"/>
          <w:sz w:val="24"/>
        </w:rPr>
        <w:t>, ditulis</w:t>
      </w:r>
      <w:r w:rsidR="002B69E3" w:rsidRPr="006E33E2">
        <w:rPr>
          <w:rFonts w:ascii="Times New Roman" w:hAnsi="Times New Roman"/>
          <w:sz w:val="24"/>
        </w:rPr>
        <w:t xml:space="preserve"> </w:t>
      </w:r>
      <w:r w:rsidR="006E33E2" w:rsidRPr="006E33E2">
        <w:rPr>
          <w:rFonts w:ascii="Times New Roman" w:hAnsi="Times New Roman"/>
          <w:sz w:val="24"/>
        </w:rPr>
        <w:t>dengan men</w:t>
      </w:r>
      <w:r w:rsidR="002B69E3">
        <w:rPr>
          <w:rFonts w:ascii="Times New Roman" w:hAnsi="Times New Roman"/>
          <w:sz w:val="24"/>
        </w:rPr>
        <w:t>gisi langsung tabel berikut d</w:t>
      </w:r>
      <w:r w:rsidR="006E33E2" w:rsidRPr="006E33E2">
        <w:rPr>
          <w:rFonts w:ascii="Times New Roman" w:hAnsi="Times New Roman"/>
          <w:sz w:val="24"/>
        </w:rPr>
        <w:t xml:space="preserve">an </w:t>
      </w:r>
      <w:r w:rsidR="002B69E3">
        <w:rPr>
          <w:rFonts w:ascii="Times New Roman" w:hAnsi="Times New Roman"/>
          <w:sz w:val="24"/>
        </w:rPr>
        <w:t>di</w:t>
      </w:r>
      <w:r w:rsidR="006E33E2" w:rsidRPr="006E33E2">
        <w:rPr>
          <w:rFonts w:ascii="Times New Roman" w:hAnsi="Times New Roman"/>
          <w:sz w:val="24"/>
        </w:rPr>
        <w:t xml:space="preserve">perbolehkan </w:t>
      </w:r>
      <w:r w:rsidR="002B69E3">
        <w:rPr>
          <w:rFonts w:ascii="Times New Roman" w:hAnsi="Times New Roman"/>
          <w:sz w:val="24"/>
        </w:rPr>
        <w:t>m</w:t>
      </w:r>
      <w:r w:rsidR="006E33E2" w:rsidRPr="006E33E2">
        <w:rPr>
          <w:rFonts w:ascii="Times New Roman" w:hAnsi="Times New Roman"/>
          <w:sz w:val="24"/>
        </w:rPr>
        <w:t>enambah</w:t>
      </w:r>
      <w:r w:rsidR="002B69E3">
        <w:rPr>
          <w:rFonts w:ascii="Times New Roman" w:hAnsi="Times New Roman"/>
          <w:sz w:val="24"/>
        </w:rPr>
        <w:t>k</w:t>
      </w:r>
      <w:r w:rsidR="006E33E2" w:rsidRPr="006E33E2">
        <w:rPr>
          <w:rFonts w:ascii="Times New Roman" w:hAnsi="Times New Roman"/>
          <w:sz w:val="24"/>
        </w:rPr>
        <w:t>an baris sesuai banyaknya</w:t>
      </w:r>
      <w:r w:rsidR="00776C3D">
        <w:rPr>
          <w:rFonts w:ascii="Times New Roman" w:hAnsi="Times New Roman"/>
          <w:sz w:val="24"/>
        </w:rPr>
        <w:t xml:space="preserve"> jenis </w:t>
      </w:r>
      <w:r w:rsidR="006E33E2" w:rsidRPr="006E33E2">
        <w:rPr>
          <w:rFonts w:ascii="Times New Roman" w:hAnsi="Times New Roman"/>
          <w:sz w:val="24"/>
        </w:rPr>
        <w:t>kegiatan</w:t>
      </w:r>
      <w:r w:rsidR="006E33E2">
        <w:rPr>
          <w:rFonts w:ascii="Times New Roman" w:hAnsi="Times New Roman"/>
          <w:sz w:val="24"/>
        </w:rPr>
        <w:t>.</w:t>
      </w:r>
    </w:p>
    <w:p w14:paraId="1D61A7D1" w14:textId="77777777" w:rsidR="007843B7" w:rsidRPr="00BE7616" w:rsidRDefault="007843B7" w:rsidP="00BE7616">
      <w:pPr>
        <w:spacing w:after="0" w:line="240" w:lineRule="auto"/>
        <w:rPr>
          <w:rFonts w:ascii="Times New Roman" w:hAnsi="Times New Roman"/>
          <w:sz w:val="2"/>
          <w:szCs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714"/>
        <w:gridCol w:w="3973"/>
        <w:gridCol w:w="814"/>
        <w:gridCol w:w="774"/>
        <w:gridCol w:w="760"/>
        <w:gridCol w:w="747"/>
        <w:gridCol w:w="681"/>
        <w:gridCol w:w="881"/>
      </w:tblGrid>
      <w:tr w:rsidR="000973E5" w:rsidRPr="00624E9D" w14:paraId="32CB9C72" w14:textId="77777777" w:rsidTr="0023623E">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6F28E95"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b/>
                <w:bCs/>
                <w:color w:val="1F1F1F"/>
                <w:sz w:val="24"/>
                <w:szCs w:val="24"/>
              </w:rPr>
            </w:pPr>
            <w:permStart w:id="1729447285" w:edGrp="everyone"/>
            <w:r w:rsidRPr="00624E9D">
              <w:rPr>
                <w:rFonts w:ascii="Times New Roman" w:eastAsia="Google Sans" w:hAnsi="Times New Roman"/>
                <w:b/>
                <w:bCs/>
                <w:color w:val="1F1F1F"/>
                <w:sz w:val="24"/>
                <w:szCs w:val="24"/>
              </w:rPr>
              <w:t>No.</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254C82A"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b/>
                <w:bCs/>
                <w:color w:val="1F1F1F"/>
                <w:sz w:val="24"/>
                <w:szCs w:val="24"/>
              </w:rPr>
            </w:pPr>
            <w:r w:rsidRPr="00624E9D">
              <w:rPr>
                <w:rFonts w:ascii="Times New Roman" w:eastAsia="Google Sans" w:hAnsi="Times New Roman"/>
                <w:b/>
                <w:bCs/>
                <w:color w:val="1F1F1F"/>
                <w:sz w:val="24"/>
                <w:szCs w:val="24"/>
              </w:rPr>
              <w:t>Nama Kegiatan</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98FCB85"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b/>
                <w:bCs/>
                <w:color w:val="1F1F1F"/>
                <w:sz w:val="24"/>
                <w:szCs w:val="24"/>
              </w:rPr>
            </w:pPr>
            <w:r w:rsidRPr="00624E9D">
              <w:rPr>
                <w:rFonts w:ascii="Times New Roman" w:eastAsia="Google Sans" w:hAnsi="Times New Roman"/>
                <w:b/>
                <w:bCs/>
                <w:color w:val="1F1F1F"/>
                <w:sz w:val="24"/>
                <w:szCs w:val="24"/>
              </w:rPr>
              <w:t>Mar</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C7FAC78"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b/>
                <w:bCs/>
                <w:color w:val="1F1F1F"/>
                <w:sz w:val="24"/>
                <w:szCs w:val="24"/>
              </w:rPr>
            </w:pPr>
            <w:r w:rsidRPr="00624E9D">
              <w:rPr>
                <w:rFonts w:ascii="Times New Roman" w:eastAsia="Google Sans" w:hAnsi="Times New Roman"/>
                <w:b/>
                <w:bCs/>
                <w:color w:val="1F1F1F"/>
                <w:sz w:val="24"/>
                <w:szCs w:val="24"/>
              </w:rPr>
              <w:t>Apr</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9085ACC"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b/>
                <w:bCs/>
                <w:color w:val="1F1F1F"/>
                <w:sz w:val="24"/>
                <w:szCs w:val="24"/>
              </w:rPr>
            </w:pPr>
            <w:r w:rsidRPr="00624E9D">
              <w:rPr>
                <w:rFonts w:ascii="Times New Roman" w:eastAsia="Google Sans" w:hAnsi="Times New Roman"/>
                <w:b/>
                <w:bCs/>
                <w:color w:val="1F1F1F"/>
                <w:sz w:val="24"/>
                <w:szCs w:val="24"/>
              </w:rPr>
              <w:t>Mei</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09030D5"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b/>
                <w:bCs/>
                <w:color w:val="1F1F1F"/>
                <w:sz w:val="24"/>
                <w:szCs w:val="24"/>
              </w:rPr>
            </w:pPr>
            <w:r w:rsidRPr="00624E9D">
              <w:rPr>
                <w:rFonts w:ascii="Times New Roman" w:eastAsia="Google Sans" w:hAnsi="Times New Roman"/>
                <w:b/>
                <w:bCs/>
                <w:color w:val="1F1F1F"/>
                <w:sz w:val="24"/>
                <w:szCs w:val="24"/>
              </w:rPr>
              <w:t>Jun</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6AE245C"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b/>
                <w:bCs/>
                <w:color w:val="1F1F1F"/>
                <w:sz w:val="24"/>
                <w:szCs w:val="24"/>
              </w:rPr>
            </w:pPr>
            <w:r w:rsidRPr="00624E9D">
              <w:rPr>
                <w:rFonts w:ascii="Times New Roman" w:eastAsia="Google Sans" w:hAnsi="Times New Roman"/>
                <w:b/>
                <w:bCs/>
                <w:color w:val="1F1F1F"/>
                <w:sz w:val="24"/>
                <w:szCs w:val="24"/>
              </w:rPr>
              <w:t>Jul</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1B5B41E"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b/>
                <w:bCs/>
                <w:color w:val="1F1F1F"/>
                <w:sz w:val="24"/>
                <w:szCs w:val="24"/>
              </w:rPr>
            </w:pPr>
            <w:r w:rsidRPr="00624E9D">
              <w:rPr>
                <w:rFonts w:ascii="Times New Roman" w:eastAsia="Google Sans" w:hAnsi="Times New Roman"/>
                <w:b/>
                <w:bCs/>
                <w:color w:val="1F1F1F"/>
                <w:sz w:val="24"/>
                <w:szCs w:val="24"/>
              </w:rPr>
              <w:t>Agus</w:t>
            </w:r>
          </w:p>
        </w:tc>
      </w:tr>
      <w:tr w:rsidR="000973E5" w:rsidRPr="00624E9D" w14:paraId="5747D387" w14:textId="77777777" w:rsidTr="0023623E">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83D8813"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B9A1664"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Persiapan dan perencanaan kegiatan</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15A0432"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X</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55FD465"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864058D"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035CA6B"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AA31654"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D9C7BD7"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p>
        </w:tc>
      </w:tr>
      <w:tr w:rsidR="000973E5" w:rsidRPr="00624E9D" w14:paraId="03EC611A" w14:textId="77777777" w:rsidTr="0023623E">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98AB583"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96249C4"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Penyusunan proposal riset</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AB4C2B0"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39DB5A6"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X</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44E87BC"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3B9F676"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030EB6E"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FC49748"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p>
        </w:tc>
      </w:tr>
      <w:tr w:rsidR="000973E5" w:rsidRPr="00624E9D" w14:paraId="1EED5DB4" w14:textId="77777777" w:rsidTr="0023623E">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E55E1E9"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FC87BB6"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Pengumpulan materi dan data</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93EEDAE"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E30E9A6"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5808368"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X</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E3E2199"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09BA4E1"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E110B5A"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p>
        </w:tc>
      </w:tr>
      <w:tr w:rsidR="000973E5" w:rsidRPr="00624E9D" w14:paraId="77320D75" w14:textId="77777777" w:rsidTr="0023623E">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33097E3"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A3F9C9B"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Pengolahan dan analisis data</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567C88B"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98534FD"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64ECC78"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806C321"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X</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67890EB"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A5C6F98"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p>
        </w:tc>
      </w:tr>
      <w:tr w:rsidR="000973E5" w:rsidRPr="00624E9D" w14:paraId="139D853E" w14:textId="77777777" w:rsidTr="0023623E">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63B2947"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6AB78A9"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Penyusunan laporan penelitian dan draft artikel untuk submit</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B40CC80"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FF233ED"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9BED473"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8E93950"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6487D85"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X</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604076B"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p>
        </w:tc>
      </w:tr>
      <w:tr w:rsidR="000973E5" w:rsidRPr="00624E9D" w14:paraId="5468A99E" w14:textId="77777777" w:rsidTr="0023623E">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D0D4842"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199D050"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Publikasi, pembuatan HKI dan penyerahan laporan penelian</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4D959B7"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153945A"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E6F167D"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6BE926D"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8043159"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3E5DD53" w14:textId="77777777" w:rsidR="000973E5" w:rsidRPr="00624E9D" w:rsidRDefault="000973E5" w:rsidP="000973E5">
            <w:pPr>
              <w:pBdr>
                <w:top w:val="nil"/>
                <w:left w:val="nil"/>
                <w:bottom w:val="nil"/>
                <w:right w:val="nil"/>
                <w:between w:val="nil"/>
              </w:pBdr>
              <w:spacing w:after="0" w:line="240" w:lineRule="auto"/>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X</w:t>
            </w:r>
          </w:p>
        </w:tc>
      </w:tr>
    </w:tbl>
    <w:p w14:paraId="0668B590" w14:textId="77777777" w:rsidR="00DF60C3" w:rsidRDefault="00DF60C3" w:rsidP="00DF1BB7">
      <w:pPr>
        <w:spacing w:after="0" w:line="240" w:lineRule="auto"/>
        <w:rPr>
          <w:rFonts w:ascii="Times New Roman" w:hAnsi="Times New Roman"/>
          <w:sz w:val="24"/>
        </w:rPr>
      </w:pPr>
    </w:p>
    <w:permEnd w:id="1729447285"/>
    <w:p w14:paraId="7A09FA53" w14:textId="77777777" w:rsidR="000C799F" w:rsidRDefault="000C799F" w:rsidP="004036C4">
      <w:pPr>
        <w:spacing w:after="0" w:line="240" w:lineRule="auto"/>
        <w:rPr>
          <w:rFonts w:ascii="Times New Roman" w:hAnsi="Times New Roman"/>
          <w:sz w:val="24"/>
        </w:rPr>
      </w:pPr>
    </w:p>
    <w:p w14:paraId="72499B9D" w14:textId="77777777" w:rsidR="00203642" w:rsidRPr="002369FC" w:rsidRDefault="00203642" w:rsidP="00203642">
      <w:pPr>
        <w:spacing w:before="120" w:after="120" w:line="240" w:lineRule="auto"/>
        <w:rPr>
          <w:rFonts w:ascii="Times New Roman" w:hAnsi="Times New Roman"/>
          <w:b/>
          <w:sz w:val="24"/>
        </w:rPr>
      </w:pPr>
      <w:r w:rsidRPr="002369FC">
        <w:rPr>
          <w:rFonts w:ascii="Times New Roman" w:hAnsi="Times New Roman"/>
          <w:b/>
          <w:sz w:val="24"/>
        </w:rPr>
        <w:t>LUARAN DAN TARGET CAPAIAN</w:t>
      </w:r>
    </w:p>
    <w:p w14:paraId="0CE3C0BD" w14:textId="77777777" w:rsidR="00203642" w:rsidRPr="00D32AD0" w:rsidRDefault="00203642" w:rsidP="00203642">
      <w:pPr>
        <w:framePr w:w="9246" w:h="401" w:hSpace="187" w:wrap="around" w:vAnchor="text" w:hAnchor="page" w:x="1503" w:y="-1"/>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rPr>
      </w:pPr>
      <w:r>
        <w:rPr>
          <w:rFonts w:ascii="Times New Roman" w:hAnsi="Times New Roman"/>
          <w:sz w:val="24"/>
        </w:rPr>
        <w:t>Tuliskan target luaran wajib dan tambahan (jika ada) yang akan dihasilkan.</w:t>
      </w:r>
    </w:p>
    <w:p w14:paraId="1865B8F4" w14:textId="77777777" w:rsidR="00203642" w:rsidRDefault="00203642" w:rsidP="00203642">
      <w:pPr>
        <w:spacing w:after="0" w:line="240" w:lineRule="auto"/>
        <w:rPr>
          <w:rFonts w:ascii="Times New Roman" w:hAnsi="Times New Roman"/>
          <w:sz w:val="24"/>
        </w:rPr>
      </w:pPr>
      <w:permStart w:id="1512596438" w:edGrp="everyone"/>
    </w:p>
    <w:tbl>
      <w:tblPr>
        <w:tblW w:w="9355" w:type="dxa"/>
        <w:tblInd w:w="-5" w:type="dxa"/>
        <w:tblLook w:val="04A0" w:firstRow="1" w:lastRow="0" w:firstColumn="1" w:lastColumn="0" w:noHBand="0" w:noVBand="1"/>
      </w:tblPr>
      <w:tblGrid>
        <w:gridCol w:w="570"/>
        <w:gridCol w:w="2620"/>
        <w:gridCol w:w="2576"/>
        <w:gridCol w:w="3589"/>
      </w:tblGrid>
      <w:tr w:rsidR="00203642" w:rsidRPr="00E12AD7" w14:paraId="799217DF" w14:textId="77777777" w:rsidTr="003E6852">
        <w:trPr>
          <w:trHeight w:val="300"/>
        </w:trPr>
        <w:tc>
          <w:tcPr>
            <w:tcW w:w="0" w:type="auto"/>
            <w:tcBorders>
              <w:top w:val="single" w:sz="4" w:space="0" w:color="auto"/>
              <w:left w:val="single" w:sz="4" w:space="0" w:color="auto"/>
              <w:bottom w:val="single" w:sz="4" w:space="0" w:color="auto"/>
              <w:right w:val="single" w:sz="4" w:space="0" w:color="auto"/>
            </w:tcBorders>
            <w:vAlign w:val="center"/>
            <w:hideMark/>
          </w:tcPr>
          <w:p w14:paraId="11751527" w14:textId="77777777" w:rsidR="00203642" w:rsidRPr="00E12AD7" w:rsidRDefault="00203642" w:rsidP="003E6852">
            <w:pPr>
              <w:spacing w:after="0" w:line="240" w:lineRule="auto"/>
              <w:jc w:val="center"/>
              <w:rPr>
                <w:rFonts w:ascii="Times New Roman" w:hAnsi="Times New Roman"/>
                <w:color w:val="000000"/>
                <w:sz w:val="24"/>
                <w:szCs w:val="24"/>
              </w:rPr>
            </w:pPr>
            <w:r w:rsidRPr="00E12AD7">
              <w:rPr>
                <w:rFonts w:ascii="Times New Roman" w:hAnsi="Times New Roman"/>
                <w:color w:val="000000"/>
                <w:sz w:val="24"/>
                <w:szCs w:val="24"/>
              </w:rPr>
              <w:t>No</w:t>
            </w:r>
            <w:r>
              <w:rPr>
                <w:rFonts w:ascii="Times New Roman" w:hAnsi="Times New Roman"/>
                <w:color w:val="000000"/>
                <w:sz w:val="24"/>
                <w:szCs w:val="24"/>
              </w:rPr>
              <w:t>.</w:t>
            </w:r>
          </w:p>
        </w:tc>
        <w:tc>
          <w:tcPr>
            <w:tcW w:w="2620" w:type="dxa"/>
            <w:tcBorders>
              <w:top w:val="single" w:sz="4" w:space="0" w:color="auto"/>
              <w:left w:val="single" w:sz="4" w:space="0" w:color="auto"/>
              <w:bottom w:val="single" w:sz="4" w:space="0" w:color="auto"/>
              <w:right w:val="single" w:sz="4" w:space="0" w:color="auto"/>
            </w:tcBorders>
            <w:vAlign w:val="center"/>
            <w:hideMark/>
          </w:tcPr>
          <w:p w14:paraId="53B92899" w14:textId="77777777" w:rsidR="00203642" w:rsidRPr="00E12AD7" w:rsidRDefault="00203642" w:rsidP="003E685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Kategori Luaran</w:t>
            </w:r>
          </w:p>
        </w:tc>
        <w:tc>
          <w:tcPr>
            <w:tcW w:w="2576" w:type="dxa"/>
            <w:tcBorders>
              <w:top w:val="single" w:sz="4" w:space="0" w:color="auto"/>
              <w:left w:val="single" w:sz="4" w:space="0" w:color="auto"/>
              <w:bottom w:val="single" w:sz="4" w:space="0" w:color="auto"/>
              <w:right w:val="single" w:sz="4" w:space="0" w:color="auto"/>
            </w:tcBorders>
          </w:tcPr>
          <w:p w14:paraId="01574E9A" w14:textId="77777777" w:rsidR="00203642" w:rsidRPr="00E12AD7" w:rsidRDefault="00203642" w:rsidP="003E685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Jenis Luaran</w:t>
            </w:r>
          </w:p>
        </w:tc>
        <w:tc>
          <w:tcPr>
            <w:tcW w:w="3589" w:type="dxa"/>
            <w:tcBorders>
              <w:top w:val="single" w:sz="4" w:space="0" w:color="auto"/>
              <w:left w:val="single" w:sz="4" w:space="0" w:color="auto"/>
              <w:bottom w:val="single" w:sz="4" w:space="0" w:color="auto"/>
              <w:right w:val="single" w:sz="4" w:space="0" w:color="auto"/>
            </w:tcBorders>
          </w:tcPr>
          <w:p w14:paraId="0D6F1555" w14:textId="77777777" w:rsidR="00203642" w:rsidRDefault="00203642" w:rsidP="003E685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Target Capaian</w:t>
            </w:r>
          </w:p>
        </w:tc>
      </w:tr>
      <w:tr w:rsidR="00203642" w:rsidRPr="00E12AD7" w14:paraId="5600FC0A" w14:textId="77777777" w:rsidTr="003E6852">
        <w:trPr>
          <w:trHeight w:val="300"/>
        </w:trPr>
        <w:tc>
          <w:tcPr>
            <w:tcW w:w="0" w:type="auto"/>
            <w:tcBorders>
              <w:top w:val="single" w:sz="4" w:space="0" w:color="auto"/>
              <w:left w:val="single" w:sz="4" w:space="0" w:color="auto"/>
              <w:bottom w:val="single" w:sz="4" w:space="0" w:color="auto"/>
              <w:right w:val="single" w:sz="4" w:space="0" w:color="auto"/>
            </w:tcBorders>
            <w:vAlign w:val="center"/>
          </w:tcPr>
          <w:p w14:paraId="74AAC1FA" w14:textId="77777777" w:rsidR="00203642" w:rsidRPr="00E12AD7" w:rsidRDefault="00203642" w:rsidP="003E685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2620" w:type="dxa"/>
            <w:tcBorders>
              <w:top w:val="single" w:sz="4" w:space="0" w:color="auto"/>
              <w:left w:val="nil"/>
              <w:bottom w:val="single" w:sz="4" w:space="0" w:color="auto"/>
              <w:right w:val="single" w:sz="4" w:space="0" w:color="auto"/>
            </w:tcBorders>
            <w:vAlign w:val="center"/>
          </w:tcPr>
          <w:p w14:paraId="55E094EC" w14:textId="77777777" w:rsidR="00203642" w:rsidRPr="00E12AD7" w:rsidRDefault="00203642" w:rsidP="003E6852">
            <w:pPr>
              <w:spacing w:after="0" w:line="240" w:lineRule="auto"/>
              <w:rPr>
                <w:rFonts w:ascii="Times New Roman" w:hAnsi="Times New Roman"/>
                <w:color w:val="000000"/>
                <w:sz w:val="24"/>
                <w:szCs w:val="24"/>
              </w:rPr>
            </w:pPr>
            <w:r>
              <w:rPr>
                <w:rFonts w:ascii="Times New Roman" w:hAnsi="Times New Roman"/>
                <w:color w:val="000000"/>
                <w:sz w:val="24"/>
                <w:szCs w:val="24"/>
              </w:rPr>
              <w:t>Artikel Ilmiah</w:t>
            </w:r>
          </w:p>
        </w:tc>
        <w:tc>
          <w:tcPr>
            <w:tcW w:w="2576" w:type="dxa"/>
            <w:tcBorders>
              <w:top w:val="nil"/>
              <w:left w:val="nil"/>
              <w:bottom w:val="single" w:sz="4" w:space="0" w:color="auto"/>
              <w:right w:val="single" w:sz="4" w:space="0" w:color="auto"/>
            </w:tcBorders>
          </w:tcPr>
          <w:p w14:paraId="23BDFA60" w14:textId="4E54AF7D" w:rsidR="00203642" w:rsidRPr="00E12AD7" w:rsidRDefault="003222C7" w:rsidP="003E685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Publikasi Nasional Sinta 3/ 4 </w:t>
            </w:r>
          </w:p>
        </w:tc>
        <w:tc>
          <w:tcPr>
            <w:tcW w:w="3589" w:type="dxa"/>
            <w:tcBorders>
              <w:top w:val="nil"/>
              <w:left w:val="nil"/>
              <w:bottom w:val="single" w:sz="4" w:space="0" w:color="auto"/>
              <w:right w:val="single" w:sz="4" w:space="0" w:color="auto"/>
            </w:tcBorders>
          </w:tcPr>
          <w:p w14:paraId="4A3B0A25" w14:textId="3CD3CB9F" w:rsidR="00203642" w:rsidRPr="00E12AD7" w:rsidRDefault="00203642" w:rsidP="003E6852">
            <w:pPr>
              <w:spacing w:after="0" w:line="240" w:lineRule="auto"/>
              <w:rPr>
                <w:rFonts w:ascii="Times New Roman" w:hAnsi="Times New Roman"/>
                <w:color w:val="000000"/>
                <w:sz w:val="24"/>
                <w:szCs w:val="24"/>
              </w:rPr>
            </w:pPr>
            <w:r>
              <w:rPr>
                <w:rFonts w:ascii="Times New Roman" w:hAnsi="Times New Roman"/>
                <w:color w:val="000000"/>
                <w:sz w:val="24"/>
                <w:szCs w:val="24"/>
              </w:rPr>
              <w:t>published</w:t>
            </w:r>
          </w:p>
        </w:tc>
      </w:tr>
      <w:tr w:rsidR="00203642" w:rsidRPr="00E12AD7" w14:paraId="7AF3C895" w14:textId="77777777" w:rsidTr="003E6852">
        <w:trPr>
          <w:trHeight w:val="300"/>
        </w:trPr>
        <w:tc>
          <w:tcPr>
            <w:tcW w:w="0" w:type="auto"/>
            <w:tcBorders>
              <w:top w:val="nil"/>
              <w:left w:val="single" w:sz="4" w:space="0" w:color="auto"/>
              <w:bottom w:val="single" w:sz="4" w:space="0" w:color="auto"/>
              <w:right w:val="single" w:sz="4" w:space="0" w:color="auto"/>
            </w:tcBorders>
            <w:vAlign w:val="center"/>
          </w:tcPr>
          <w:p w14:paraId="7ED1FA39" w14:textId="77777777" w:rsidR="00203642" w:rsidRDefault="00203642" w:rsidP="003E685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2620" w:type="dxa"/>
            <w:tcBorders>
              <w:top w:val="nil"/>
              <w:left w:val="nil"/>
              <w:bottom w:val="single" w:sz="4" w:space="0" w:color="auto"/>
              <w:right w:val="single" w:sz="4" w:space="0" w:color="auto"/>
            </w:tcBorders>
            <w:vAlign w:val="center"/>
          </w:tcPr>
          <w:p w14:paraId="587960CE" w14:textId="77777777" w:rsidR="00203642" w:rsidRPr="00E12AD7" w:rsidRDefault="00203642" w:rsidP="003E6852">
            <w:pPr>
              <w:spacing w:after="0" w:line="240" w:lineRule="auto"/>
              <w:rPr>
                <w:rFonts w:ascii="Times New Roman" w:hAnsi="Times New Roman"/>
                <w:color w:val="000000"/>
                <w:sz w:val="24"/>
                <w:szCs w:val="24"/>
              </w:rPr>
            </w:pPr>
            <w:r>
              <w:rPr>
                <w:rFonts w:ascii="Times New Roman" w:hAnsi="Times New Roman"/>
                <w:color w:val="000000"/>
                <w:sz w:val="24"/>
                <w:szCs w:val="24"/>
              </w:rPr>
              <w:t>HKI</w:t>
            </w:r>
          </w:p>
        </w:tc>
        <w:tc>
          <w:tcPr>
            <w:tcW w:w="2576" w:type="dxa"/>
            <w:tcBorders>
              <w:top w:val="nil"/>
              <w:left w:val="nil"/>
              <w:bottom w:val="single" w:sz="4" w:space="0" w:color="auto"/>
              <w:right w:val="single" w:sz="4" w:space="0" w:color="auto"/>
            </w:tcBorders>
          </w:tcPr>
          <w:p w14:paraId="4383A1AB" w14:textId="21DD2B53" w:rsidR="00203642" w:rsidRPr="00E12AD7" w:rsidRDefault="003222C7" w:rsidP="003E6852">
            <w:pPr>
              <w:spacing w:after="0" w:line="240" w:lineRule="auto"/>
              <w:rPr>
                <w:rFonts w:ascii="Times New Roman" w:hAnsi="Times New Roman"/>
                <w:color w:val="000000"/>
                <w:sz w:val="24"/>
                <w:szCs w:val="24"/>
              </w:rPr>
            </w:pPr>
            <w:r>
              <w:rPr>
                <w:rFonts w:ascii="Times New Roman" w:hAnsi="Times New Roman"/>
                <w:color w:val="000000"/>
                <w:sz w:val="24"/>
                <w:szCs w:val="24"/>
              </w:rPr>
              <w:t>Ringkasan Model Penelitian</w:t>
            </w:r>
          </w:p>
        </w:tc>
        <w:tc>
          <w:tcPr>
            <w:tcW w:w="3589" w:type="dxa"/>
            <w:tcBorders>
              <w:top w:val="nil"/>
              <w:left w:val="nil"/>
              <w:bottom w:val="single" w:sz="4" w:space="0" w:color="auto"/>
              <w:right w:val="single" w:sz="4" w:space="0" w:color="auto"/>
            </w:tcBorders>
          </w:tcPr>
          <w:p w14:paraId="2BDDE700" w14:textId="77777777" w:rsidR="00203642" w:rsidRPr="00E12AD7" w:rsidRDefault="00203642" w:rsidP="003E6852">
            <w:pPr>
              <w:spacing w:after="0" w:line="240" w:lineRule="auto"/>
              <w:rPr>
                <w:rFonts w:ascii="Times New Roman" w:hAnsi="Times New Roman"/>
                <w:color w:val="000000"/>
                <w:sz w:val="24"/>
                <w:szCs w:val="24"/>
              </w:rPr>
            </w:pPr>
            <w:r>
              <w:rPr>
                <w:rFonts w:ascii="Times New Roman" w:hAnsi="Times New Roman"/>
                <w:color w:val="000000"/>
                <w:sz w:val="24"/>
                <w:szCs w:val="24"/>
              </w:rPr>
              <w:t>granted (bersertifikat)</w:t>
            </w:r>
          </w:p>
        </w:tc>
      </w:tr>
    </w:tbl>
    <w:p w14:paraId="50E3330F" w14:textId="77777777" w:rsidR="00203642" w:rsidRDefault="00203642" w:rsidP="00203642">
      <w:pPr>
        <w:spacing w:after="0" w:line="240" w:lineRule="auto"/>
        <w:rPr>
          <w:rFonts w:ascii="Times New Roman" w:hAnsi="Times New Roman"/>
          <w:sz w:val="24"/>
        </w:rPr>
      </w:pPr>
    </w:p>
    <w:permEnd w:id="1512596438"/>
    <w:p w14:paraId="372A99C5" w14:textId="77777777" w:rsidR="00203642" w:rsidRDefault="00203642" w:rsidP="00203642">
      <w:pPr>
        <w:spacing w:before="120" w:after="0" w:line="240" w:lineRule="auto"/>
        <w:rPr>
          <w:rFonts w:ascii="Times New Roman" w:hAnsi="Times New Roman"/>
          <w:sz w:val="24"/>
        </w:rPr>
      </w:pPr>
    </w:p>
    <w:p w14:paraId="7859F3CE" w14:textId="77777777" w:rsidR="00203642" w:rsidRPr="002C3797" w:rsidRDefault="00203642" w:rsidP="00203642">
      <w:pPr>
        <w:spacing w:before="120" w:after="0" w:line="240" w:lineRule="auto"/>
        <w:rPr>
          <w:rFonts w:ascii="Times New Roman" w:hAnsi="Times New Roman"/>
          <w:b/>
          <w:sz w:val="24"/>
        </w:rPr>
      </w:pPr>
      <w:r w:rsidRPr="002C3797">
        <w:rPr>
          <w:rFonts w:ascii="Times New Roman" w:hAnsi="Times New Roman"/>
          <w:b/>
          <w:sz w:val="24"/>
        </w:rPr>
        <w:t>RENCANA ANGGARAN BIAYA</w:t>
      </w:r>
    </w:p>
    <w:p w14:paraId="2DEB0C7D" w14:textId="1B1758CD" w:rsidR="00203642" w:rsidRPr="00790F46" w:rsidRDefault="00203642" w:rsidP="00203642">
      <w:pPr>
        <w:spacing w:before="120" w:after="120" w:line="240" w:lineRule="auto"/>
        <w:rPr>
          <w:rFonts w:ascii="Times New Roman" w:hAnsi="Times New Roman"/>
          <w:b/>
          <w:sz w:val="24"/>
        </w:rPr>
      </w:pPr>
      <w:permStart w:id="1378581217" w:edGrp="everyone"/>
      <w:r w:rsidRPr="00790F46">
        <w:rPr>
          <w:rFonts w:ascii="Times New Roman" w:hAnsi="Times New Roman"/>
          <w:b/>
          <w:sz w:val="24"/>
        </w:rPr>
        <w:t>Total RAB: Rp</w:t>
      </w:r>
      <w:r w:rsidR="00A31C22">
        <w:rPr>
          <w:rFonts w:ascii="Times New Roman" w:hAnsi="Times New Roman"/>
          <w:b/>
          <w:sz w:val="24"/>
        </w:rPr>
        <w:t xml:space="preserve"> 10.000.000</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1729"/>
        <w:gridCol w:w="1629"/>
        <w:gridCol w:w="1827"/>
        <w:gridCol w:w="1377"/>
        <w:gridCol w:w="1342"/>
        <w:gridCol w:w="1440"/>
      </w:tblGrid>
      <w:tr w:rsidR="009B0A55" w:rsidRPr="00624E9D" w14:paraId="5DE6CD2F" w14:textId="77777777" w:rsidTr="0023623E">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7E1445B" w14:textId="77777777" w:rsidR="009B0A55" w:rsidRPr="00624E9D" w:rsidRDefault="009B0A55" w:rsidP="0023623E">
            <w:pPr>
              <w:pBdr>
                <w:top w:val="nil"/>
                <w:left w:val="nil"/>
                <w:bottom w:val="nil"/>
                <w:right w:val="nil"/>
                <w:between w:val="nil"/>
              </w:pBdr>
              <w:jc w:val="both"/>
              <w:rPr>
                <w:rFonts w:ascii="Times New Roman" w:eastAsia="Google Sans" w:hAnsi="Times New Roman"/>
                <w:b/>
                <w:bCs/>
                <w:color w:val="1F1F1F"/>
                <w:sz w:val="24"/>
                <w:szCs w:val="24"/>
              </w:rPr>
            </w:pPr>
            <w:r w:rsidRPr="00624E9D">
              <w:rPr>
                <w:rFonts w:ascii="Times New Roman" w:eastAsia="Google Sans" w:hAnsi="Times New Roman"/>
                <w:b/>
                <w:bCs/>
                <w:color w:val="1F1F1F"/>
                <w:sz w:val="24"/>
                <w:szCs w:val="24"/>
              </w:rPr>
              <w:t>Jenis Pembelajaan</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8084C19" w14:textId="77777777" w:rsidR="009B0A55" w:rsidRPr="00624E9D" w:rsidRDefault="009B0A55" w:rsidP="0023623E">
            <w:pPr>
              <w:pBdr>
                <w:top w:val="nil"/>
                <w:left w:val="nil"/>
                <w:bottom w:val="nil"/>
                <w:right w:val="nil"/>
                <w:between w:val="nil"/>
              </w:pBdr>
              <w:jc w:val="both"/>
              <w:rPr>
                <w:rFonts w:ascii="Times New Roman" w:eastAsia="Google Sans" w:hAnsi="Times New Roman"/>
                <w:b/>
                <w:bCs/>
                <w:color w:val="1F1F1F"/>
                <w:sz w:val="24"/>
                <w:szCs w:val="24"/>
              </w:rPr>
            </w:pPr>
            <w:r w:rsidRPr="00624E9D">
              <w:rPr>
                <w:rFonts w:ascii="Times New Roman" w:eastAsia="Google Sans" w:hAnsi="Times New Roman"/>
                <w:b/>
                <w:bCs/>
                <w:color w:val="1F1F1F"/>
                <w:sz w:val="24"/>
                <w:szCs w:val="24"/>
              </w:rPr>
              <w:t>Komponen</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15C2A49" w14:textId="77777777" w:rsidR="009B0A55" w:rsidRPr="00624E9D" w:rsidRDefault="009B0A55" w:rsidP="0023623E">
            <w:pPr>
              <w:pBdr>
                <w:top w:val="nil"/>
                <w:left w:val="nil"/>
                <w:bottom w:val="nil"/>
                <w:right w:val="nil"/>
                <w:between w:val="nil"/>
              </w:pBdr>
              <w:jc w:val="both"/>
              <w:rPr>
                <w:rFonts w:ascii="Times New Roman" w:eastAsia="Google Sans" w:hAnsi="Times New Roman"/>
                <w:b/>
                <w:bCs/>
                <w:color w:val="1F1F1F"/>
                <w:sz w:val="24"/>
                <w:szCs w:val="24"/>
              </w:rPr>
            </w:pPr>
            <w:r w:rsidRPr="00624E9D">
              <w:rPr>
                <w:rFonts w:ascii="Times New Roman" w:eastAsia="Google Sans" w:hAnsi="Times New Roman"/>
                <w:b/>
                <w:bCs/>
                <w:color w:val="1F1F1F"/>
                <w:sz w:val="24"/>
                <w:szCs w:val="24"/>
              </w:rPr>
              <w:t>Item</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7CEE5C5" w14:textId="77777777" w:rsidR="009B0A55" w:rsidRPr="00624E9D" w:rsidRDefault="009B0A55" w:rsidP="0023623E">
            <w:pPr>
              <w:pBdr>
                <w:top w:val="nil"/>
                <w:left w:val="nil"/>
                <w:bottom w:val="nil"/>
                <w:right w:val="nil"/>
                <w:between w:val="nil"/>
              </w:pBdr>
              <w:jc w:val="both"/>
              <w:rPr>
                <w:rFonts w:ascii="Times New Roman" w:eastAsia="Google Sans" w:hAnsi="Times New Roman"/>
                <w:b/>
                <w:bCs/>
                <w:color w:val="1F1F1F"/>
                <w:sz w:val="24"/>
                <w:szCs w:val="24"/>
              </w:rPr>
            </w:pPr>
            <w:r w:rsidRPr="00624E9D">
              <w:rPr>
                <w:rFonts w:ascii="Times New Roman" w:eastAsia="Google Sans" w:hAnsi="Times New Roman"/>
                <w:b/>
                <w:bCs/>
                <w:color w:val="1F1F1F"/>
                <w:sz w:val="24"/>
                <w:szCs w:val="24"/>
              </w:rPr>
              <w:t>Kuantitas</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75199B2" w14:textId="77777777" w:rsidR="009B0A55" w:rsidRPr="00624E9D" w:rsidRDefault="009B0A55" w:rsidP="0023623E">
            <w:pPr>
              <w:pBdr>
                <w:top w:val="nil"/>
                <w:left w:val="nil"/>
                <w:bottom w:val="nil"/>
                <w:right w:val="nil"/>
                <w:between w:val="nil"/>
              </w:pBdr>
              <w:jc w:val="both"/>
              <w:rPr>
                <w:rFonts w:ascii="Times New Roman" w:eastAsia="Google Sans" w:hAnsi="Times New Roman"/>
                <w:b/>
                <w:bCs/>
                <w:color w:val="1F1F1F"/>
                <w:sz w:val="24"/>
                <w:szCs w:val="24"/>
              </w:rPr>
            </w:pPr>
            <w:r w:rsidRPr="00624E9D">
              <w:rPr>
                <w:rFonts w:ascii="Times New Roman" w:eastAsia="Google Sans" w:hAnsi="Times New Roman"/>
                <w:b/>
                <w:bCs/>
                <w:color w:val="1F1F1F"/>
                <w:sz w:val="24"/>
                <w:szCs w:val="24"/>
              </w:rPr>
              <w:t>Biaya Satuan</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08232E2" w14:textId="77777777" w:rsidR="009B0A55" w:rsidRPr="00624E9D" w:rsidRDefault="009B0A55" w:rsidP="0023623E">
            <w:pPr>
              <w:pBdr>
                <w:top w:val="nil"/>
                <w:left w:val="nil"/>
                <w:bottom w:val="nil"/>
                <w:right w:val="nil"/>
                <w:between w:val="nil"/>
              </w:pBdr>
              <w:jc w:val="both"/>
              <w:rPr>
                <w:rFonts w:ascii="Times New Roman" w:eastAsia="Google Sans" w:hAnsi="Times New Roman"/>
                <w:b/>
                <w:bCs/>
                <w:color w:val="1F1F1F"/>
                <w:sz w:val="24"/>
                <w:szCs w:val="24"/>
              </w:rPr>
            </w:pPr>
            <w:r w:rsidRPr="00624E9D">
              <w:rPr>
                <w:rFonts w:ascii="Times New Roman" w:eastAsia="Google Sans" w:hAnsi="Times New Roman"/>
                <w:b/>
                <w:bCs/>
                <w:color w:val="1F1F1F"/>
                <w:sz w:val="24"/>
                <w:szCs w:val="24"/>
              </w:rPr>
              <w:t>Total</w:t>
            </w:r>
          </w:p>
        </w:tc>
      </w:tr>
      <w:tr w:rsidR="009B0A55" w:rsidRPr="00624E9D" w14:paraId="2C9830D9" w14:textId="77777777" w:rsidTr="0023623E">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A5A700B"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Belanja Bahan</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A894C61"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ATK</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0442525"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Kertas, alat tulis, tinta, printer, copy dll</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151B250"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1 Paket</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63297E8"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600.000</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DFA7647"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600.000</w:t>
            </w:r>
          </w:p>
        </w:tc>
      </w:tr>
      <w:tr w:rsidR="009B0A55" w:rsidRPr="00624E9D" w14:paraId="5FCBDD16" w14:textId="77777777" w:rsidTr="0023623E">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596D15E"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Belanja Bahan</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5EAE980"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Bahan penelitian (habis pakai)</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00CB1FD"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Buku, artikel referensi, Lisensi SmartPLS</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214EC43"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1 Paket</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7B88667"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1.500.000</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D091086"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1.500.000</w:t>
            </w:r>
          </w:p>
        </w:tc>
      </w:tr>
      <w:tr w:rsidR="009B0A55" w:rsidRPr="00624E9D" w14:paraId="444E824D" w14:textId="77777777" w:rsidTr="0023623E">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AED914D"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lastRenderedPageBreak/>
              <w:t>Pengumpulan Data</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6EBF78F"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Honor pembantu peneliti</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58518D1"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Mahasiswa</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E15EB1B"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2 Orang</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9E95B33"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400.000</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85C9F0C"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800.000</w:t>
            </w:r>
          </w:p>
        </w:tc>
      </w:tr>
      <w:tr w:rsidR="009B0A55" w:rsidRPr="00624E9D" w14:paraId="24D8D4D5" w14:textId="77777777" w:rsidTr="0023623E">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2E98FE1"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Pengumpulan Data</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5415E4A"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FGD</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7CB1586"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Validasi / Observasi</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5058AF3"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1 Paket</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0B05AE0"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1.500.000</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89B31F8"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1.500.000</w:t>
            </w:r>
          </w:p>
        </w:tc>
      </w:tr>
      <w:tr w:rsidR="009B0A55" w:rsidRPr="00624E9D" w14:paraId="45E23203" w14:textId="77777777" w:rsidTr="0023623E">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D69ABC6"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Pengumpulan Data</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9EF8DD7"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Transport</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62152D1"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Pengumpulan Data / Observasi</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772CA02"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1 Paket</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9BC7D67"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1.200.000</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F23A79D"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1.200.000</w:t>
            </w:r>
          </w:p>
        </w:tc>
      </w:tr>
      <w:tr w:rsidR="009B0A55" w:rsidRPr="00624E9D" w14:paraId="655018CA" w14:textId="77777777" w:rsidTr="0023623E">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1A58039"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Pengumpulan Data</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534CA19"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Konsumsi</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539EE2F"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Observasi / Rapat</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A735764"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1 Paket</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5EC7AC1"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1.000.000</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C2E3FBE"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1.000.000</w:t>
            </w:r>
          </w:p>
        </w:tc>
      </w:tr>
      <w:tr w:rsidR="009B0A55" w:rsidRPr="00624E9D" w14:paraId="79E7751C" w14:textId="77777777" w:rsidTr="0023623E">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CD3E323"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Analisis Data</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7BD82D0"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Honor pengolah data</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C50623E"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Peneliti</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2D5C7F3"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2 Orang</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E64B6E8"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600.000</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8C99F0C"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1.200.000</w:t>
            </w:r>
          </w:p>
        </w:tc>
      </w:tr>
      <w:tr w:rsidR="009B0A55" w:rsidRPr="00624E9D" w14:paraId="6F053544" w14:textId="77777777" w:rsidTr="0023623E">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F84A6A3"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Pelaporan penelitian</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EF9919B"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Honor administrasi peneliti</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753D1B5"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Pembuatan Laporan Progress dan Akhir</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5A0E3E5"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2 Paket</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853AB8D"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400.000</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CE8EE27"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800.000</w:t>
            </w:r>
          </w:p>
        </w:tc>
      </w:tr>
      <w:tr w:rsidR="009B0A55" w:rsidRPr="00624E9D" w14:paraId="148A8646" w14:textId="77777777" w:rsidTr="0023623E">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5D96F82"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Lainnya</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197A72A"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Biaya Translate Paper</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1F4E766"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Honor Translate</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B5E18B0"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1 Artikel</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3E5C93E"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1.000.000</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16616EF"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1.000.000</w:t>
            </w:r>
          </w:p>
        </w:tc>
      </w:tr>
      <w:tr w:rsidR="009B0A55" w:rsidRPr="00624E9D" w14:paraId="4D416DA5" w14:textId="77777777" w:rsidTr="0023623E">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14DEECB"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Lainnya</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5CEA089"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Biaya pendaftaran HKI</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2F189DA"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Registrasi HKI</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742411F"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1 Sertifikat</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3C8FC55"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400.000</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08519F4" w14:textId="77777777" w:rsidR="009B0A55" w:rsidRPr="00624E9D" w:rsidRDefault="009B0A55" w:rsidP="0023623E">
            <w:pPr>
              <w:pBdr>
                <w:top w:val="nil"/>
                <w:left w:val="nil"/>
                <w:bottom w:val="nil"/>
                <w:right w:val="nil"/>
                <w:between w:val="nil"/>
              </w:pBdr>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400.000</w:t>
            </w:r>
          </w:p>
        </w:tc>
      </w:tr>
      <w:tr w:rsidR="009B0A55" w:rsidRPr="00624E9D" w14:paraId="0E93D3CD" w14:textId="77777777" w:rsidTr="0023623E">
        <w:trPr>
          <w:trHeight w:val="17"/>
        </w:trPr>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2184222" w14:textId="77777777" w:rsidR="009B0A55" w:rsidRPr="00624E9D" w:rsidRDefault="009B0A55" w:rsidP="0023623E">
            <w:pPr>
              <w:pBdr>
                <w:top w:val="nil"/>
                <w:left w:val="nil"/>
                <w:bottom w:val="nil"/>
                <w:right w:val="nil"/>
                <w:between w:val="nil"/>
              </w:pBdr>
              <w:jc w:val="both"/>
              <w:rPr>
                <w:rFonts w:ascii="Times New Roman" w:eastAsia="Google Sans" w:hAnsi="Times New Roman"/>
                <w:b/>
                <w:bCs/>
                <w:color w:val="1F1F1F"/>
                <w:sz w:val="24"/>
                <w:szCs w:val="24"/>
              </w:rPr>
            </w:pPr>
            <w:r w:rsidRPr="00624E9D">
              <w:rPr>
                <w:rFonts w:ascii="Times New Roman" w:eastAsia="Google Sans" w:hAnsi="Times New Roman"/>
                <w:b/>
                <w:bCs/>
                <w:color w:val="1F1F1F"/>
                <w:sz w:val="24"/>
                <w:szCs w:val="24"/>
              </w:rPr>
              <w:t>TOTAL</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7AE0178" w14:textId="77777777" w:rsidR="009B0A55" w:rsidRPr="00624E9D" w:rsidRDefault="009B0A55" w:rsidP="0023623E">
            <w:pPr>
              <w:pBdr>
                <w:top w:val="nil"/>
                <w:left w:val="nil"/>
                <w:bottom w:val="nil"/>
                <w:right w:val="nil"/>
                <w:between w:val="nil"/>
              </w:pBdr>
              <w:jc w:val="both"/>
              <w:rPr>
                <w:rFonts w:ascii="Times New Roman" w:eastAsia="Google Sans" w:hAnsi="Times New Roman"/>
                <w:b/>
                <w:bCs/>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97B40BE" w14:textId="77777777" w:rsidR="009B0A55" w:rsidRPr="00624E9D" w:rsidRDefault="009B0A55" w:rsidP="0023623E">
            <w:pPr>
              <w:pBdr>
                <w:top w:val="nil"/>
                <w:left w:val="nil"/>
                <w:bottom w:val="nil"/>
                <w:right w:val="nil"/>
                <w:between w:val="nil"/>
              </w:pBdr>
              <w:jc w:val="both"/>
              <w:rPr>
                <w:rFonts w:ascii="Times New Roman" w:eastAsia="Google Sans" w:hAnsi="Times New Roman"/>
                <w:b/>
                <w:bCs/>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86FA54C" w14:textId="77777777" w:rsidR="009B0A55" w:rsidRPr="00624E9D" w:rsidRDefault="009B0A55" w:rsidP="0023623E">
            <w:pPr>
              <w:pBdr>
                <w:top w:val="nil"/>
                <w:left w:val="nil"/>
                <w:bottom w:val="nil"/>
                <w:right w:val="nil"/>
                <w:between w:val="nil"/>
              </w:pBdr>
              <w:jc w:val="both"/>
              <w:rPr>
                <w:rFonts w:ascii="Times New Roman" w:eastAsia="Google Sans" w:hAnsi="Times New Roman"/>
                <w:b/>
                <w:bCs/>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E251A25" w14:textId="77777777" w:rsidR="009B0A55" w:rsidRPr="00624E9D" w:rsidRDefault="009B0A55" w:rsidP="0023623E">
            <w:pPr>
              <w:pBdr>
                <w:top w:val="nil"/>
                <w:left w:val="nil"/>
                <w:bottom w:val="nil"/>
                <w:right w:val="nil"/>
                <w:between w:val="nil"/>
              </w:pBdr>
              <w:jc w:val="both"/>
              <w:rPr>
                <w:rFonts w:ascii="Times New Roman" w:eastAsia="Google Sans" w:hAnsi="Times New Roman"/>
                <w:b/>
                <w:bCs/>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068C67F" w14:textId="77777777" w:rsidR="009B0A55" w:rsidRPr="00624E9D" w:rsidRDefault="009B0A55" w:rsidP="0023623E">
            <w:pPr>
              <w:pBdr>
                <w:top w:val="nil"/>
                <w:left w:val="nil"/>
                <w:bottom w:val="nil"/>
                <w:right w:val="nil"/>
                <w:between w:val="nil"/>
              </w:pBdr>
              <w:jc w:val="both"/>
              <w:rPr>
                <w:rFonts w:ascii="Times New Roman" w:eastAsia="Google Sans" w:hAnsi="Times New Roman"/>
                <w:b/>
                <w:bCs/>
                <w:color w:val="1F1F1F"/>
                <w:sz w:val="24"/>
                <w:szCs w:val="24"/>
              </w:rPr>
            </w:pPr>
            <w:r w:rsidRPr="00624E9D">
              <w:rPr>
                <w:rFonts w:ascii="Times New Roman" w:eastAsia="Google Sans" w:hAnsi="Times New Roman"/>
                <w:b/>
                <w:bCs/>
                <w:color w:val="1F1F1F"/>
                <w:sz w:val="24"/>
                <w:szCs w:val="24"/>
              </w:rPr>
              <w:t>10.000.000</w:t>
            </w:r>
          </w:p>
        </w:tc>
      </w:tr>
    </w:tbl>
    <w:p w14:paraId="4CAED326" w14:textId="77777777" w:rsidR="00203642" w:rsidRDefault="00203642" w:rsidP="00203642"/>
    <w:p w14:paraId="0FD5633C" w14:textId="77777777" w:rsidR="009B0A55" w:rsidRDefault="009B0A55" w:rsidP="00203642"/>
    <w:p w14:paraId="411F324D" w14:textId="77777777" w:rsidR="009B0A55" w:rsidRDefault="009B0A55" w:rsidP="00203642"/>
    <w:p w14:paraId="64D97DED" w14:textId="77777777" w:rsidR="009B0A55" w:rsidRDefault="009B0A55" w:rsidP="00203642"/>
    <w:permEnd w:id="1378581217"/>
    <w:p w14:paraId="421C48AA" w14:textId="77777777" w:rsidR="00203642" w:rsidRDefault="00203642" w:rsidP="004036C4">
      <w:pPr>
        <w:spacing w:after="0" w:line="240" w:lineRule="auto"/>
        <w:rPr>
          <w:rFonts w:ascii="Times New Roman" w:hAnsi="Times New Roman"/>
          <w:sz w:val="24"/>
        </w:rPr>
      </w:pPr>
    </w:p>
    <w:p w14:paraId="6BD53803" w14:textId="77777777" w:rsidR="00BE7616" w:rsidRPr="003D432C" w:rsidRDefault="00EE5BDE" w:rsidP="00EE5BDE">
      <w:pPr>
        <w:spacing w:before="120" w:after="120" w:line="240" w:lineRule="auto"/>
        <w:rPr>
          <w:rFonts w:ascii="Times New Roman" w:hAnsi="Times New Roman"/>
          <w:b/>
          <w:sz w:val="24"/>
        </w:rPr>
      </w:pPr>
      <w:r w:rsidRPr="003D432C">
        <w:rPr>
          <w:rFonts w:ascii="Times New Roman" w:hAnsi="Times New Roman"/>
          <w:b/>
          <w:sz w:val="24"/>
        </w:rPr>
        <w:t>DAFTAR PUSTAKA</w:t>
      </w:r>
    </w:p>
    <w:p w14:paraId="6DD2C0A6" w14:textId="77777777" w:rsidR="001577A7" w:rsidRPr="00D32AD0" w:rsidRDefault="001577A7" w:rsidP="008E1A97">
      <w:pPr>
        <w:framePr w:w="9246" w:h="694" w:hSpace="187" w:wrap="around" w:vAnchor="text" w:hAnchor="page" w:x="1503" w:y="3"/>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rPr>
      </w:pPr>
      <w:r w:rsidRPr="001577A7">
        <w:rPr>
          <w:rFonts w:ascii="Times New Roman" w:hAnsi="Times New Roman"/>
          <w:sz w:val="24"/>
        </w:rPr>
        <w:t xml:space="preserve">Sitasi disusun dan ditulis berdasarkan sistem nomor sesuai dengan urutan pengutipan, mengikuti format Vancouver. </w:t>
      </w:r>
      <w:r w:rsidR="007779F9" w:rsidRPr="008D753E">
        <w:rPr>
          <w:rFonts w:ascii="Times New Roman" w:hAnsi="Times New Roman"/>
          <w:sz w:val="24"/>
        </w:rPr>
        <w:t>Sumber pustaka mengutamakan hasil penelitian pada jurnal ilmiah yang terkini</w:t>
      </w:r>
      <w:r w:rsidR="007779F9">
        <w:rPr>
          <w:rFonts w:ascii="Times New Roman" w:hAnsi="Times New Roman"/>
          <w:sz w:val="24"/>
        </w:rPr>
        <w:t xml:space="preserve"> (maksimal</w:t>
      </w:r>
      <w:r w:rsidR="007779F9" w:rsidRPr="008D753E">
        <w:rPr>
          <w:rFonts w:ascii="Times New Roman" w:hAnsi="Times New Roman"/>
          <w:sz w:val="24"/>
        </w:rPr>
        <w:t xml:space="preserve"> </w:t>
      </w:r>
      <w:r w:rsidR="007779F9">
        <w:rPr>
          <w:rFonts w:ascii="Times New Roman" w:hAnsi="Times New Roman"/>
          <w:sz w:val="24"/>
        </w:rPr>
        <w:t>5</w:t>
      </w:r>
      <w:r w:rsidR="007779F9" w:rsidRPr="008D753E">
        <w:rPr>
          <w:rFonts w:ascii="Times New Roman" w:hAnsi="Times New Roman"/>
          <w:sz w:val="24"/>
        </w:rPr>
        <w:t xml:space="preserve"> tahun terakhir</w:t>
      </w:r>
      <w:r w:rsidR="007779F9">
        <w:rPr>
          <w:rFonts w:ascii="Times New Roman" w:hAnsi="Times New Roman"/>
          <w:sz w:val="24"/>
        </w:rPr>
        <w:t>)</w:t>
      </w:r>
      <w:r w:rsidR="007779F9" w:rsidRPr="008D753E">
        <w:rPr>
          <w:rFonts w:ascii="Times New Roman" w:hAnsi="Times New Roman"/>
          <w:sz w:val="24"/>
        </w:rPr>
        <w:t>.</w:t>
      </w:r>
      <w:r w:rsidR="007779F9">
        <w:rPr>
          <w:rFonts w:ascii="Times New Roman" w:hAnsi="Times New Roman"/>
          <w:sz w:val="24"/>
        </w:rPr>
        <w:t xml:space="preserve"> </w:t>
      </w:r>
      <w:r w:rsidRPr="001577A7">
        <w:rPr>
          <w:rFonts w:ascii="Times New Roman" w:hAnsi="Times New Roman"/>
          <w:sz w:val="24"/>
        </w:rPr>
        <w:t>Hanya pustaka yang disitasi pada usulan penelitian yang dicantumkan dalam Daftar Pustaka</w:t>
      </w:r>
      <w:r w:rsidR="007779F9">
        <w:rPr>
          <w:rFonts w:ascii="Times New Roman" w:hAnsi="Times New Roman"/>
          <w:sz w:val="24"/>
        </w:rPr>
        <w:t>.</w:t>
      </w:r>
    </w:p>
    <w:p w14:paraId="4935A05B" w14:textId="77777777" w:rsidR="008E1A97" w:rsidRPr="00F27FF2" w:rsidRDefault="008E1A97" w:rsidP="00F27FF2">
      <w:pPr>
        <w:spacing w:after="0" w:line="240" w:lineRule="auto"/>
        <w:rPr>
          <w:rFonts w:ascii="Times New Roman" w:hAnsi="Times New Roman"/>
          <w:sz w:val="2"/>
          <w:szCs w:val="2"/>
        </w:rPr>
      </w:pPr>
    </w:p>
    <w:p w14:paraId="123550E7" w14:textId="77777777" w:rsidR="009B0A55" w:rsidRPr="00624E9D" w:rsidRDefault="009B0A55" w:rsidP="009B0A55">
      <w:pPr>
        <w:widowControl w:val="0"/>
        <w:numPr>
          <w:ilvl w:val="0"/>
          <w:numId w:val="2"/>
        </w:numPr>
        <w:pBdr>
          <w:top w:val="nil"/>
          <w:left w:val="nil"/>
          <w:bottom w:val="nil"/>
          <w:right w:val="nil"/>
          <w:between w:val="nil"/>
        </w:pBdr>
        <w:spacing w:after="0" w:line="275" w:lineRule="auto"/>
        <w:jc w:val="both"/>
        <w:rPr>
          <w:rFonts w:ascii="Times New Roman" w:hAnsi="Times New Roman"/>
          <w:sz w:val="24"/>
          <w:szCs w:val="24"/>
        </w:rPr>
      </w:pPr>
      <w:permStart w:id="317083890" w:edGrp="everyone"/>
      <w:r w:rsidRPr="00624E9D">
        <w:rPr>
          <w:rFonts w:ascii="Times New Roman" w:eastAsia="Google Sans" w:hAnsi="Times New Roman"/>
          <w:color w:val="1F1F1F"/>
          <w:sz w:val="24"/>
          <w:szCs w:val="24"/>
        </w:rPr>
        <w:t xml:space="preserve">Mochkabadi K, Volkmann CK. Equity crowdfunding: a systematic review of the literature. </w:t>
      </w:r>
      <w:r w:rsidRPr="00624E9D">
        <w:rPr>
          <w:rFonts w:ascii="Times New Roman" w:eastAsia="Google Sans" w:hAnsi="Times New Roman"/>
          <w:i/>
          <w:iCs/>
          <w:color w:val="1F1F1F"/>
          <w:sz w:val="24"/>
          <w:szCs w:val="24"/>
        </w:rPr>
        <w:t>Small Business Economics</w:t>
      </w:r>
      <w:r w:rsidRPr="00624E9D">
        <w:rPr>
          <w:rFonts w:ascii="Times New Roman" w:eastAsia="Google Sans" w:hAnsi="Times New Roman"/>
          <w:color w:val="1F1F1F"/>
          <w:sz w:val="24"/>
          <w:szCs w:val="24"/>
        </w:rPr>
        <w:t>. 2020;54(1):75-118.</w:t>
      </w:r>
    </w:p>
    <w:p w14:paraId="226D61D8" w14:textId="77777777" w:rsidR="009B0A55" w:rsidRPr="00624E9D" w:rsidRDefault="009B0A55" w:rsidP="009B0A55">
      <w:pPr>
        <w:widowControl w:val="0"/>
        <w:numPr>
          <w:ilvl w:val="0"/>
          <w:numId w:val="2"/>
        </w:numPr>
        <w:pBdr>
          <w:top w:val="nil"/>
          <w:left w:val="nil"/>
          <w:bottom w:val="nil"/>
          <w:right w:val="nil"/>
          <w:between w:val="nil"/>
        </w:pBdr>
        <w:spacing w:after="0" w:line="275" w:lineRule="auto"/>
        <w:jc w:val="both"/>
        <w:rPr>
          <w:rFonts w:ascii="Times New Roman" w:hAnsi="Times New Roman"/>
          <w:sz w:val="24"/>
          <w:szCs w:val="24"/>
        </w:rPr>
      </w:pPr>
      <w:r w:rsidRPr="00624E9D">
        <w:rPr>
          <w:rFonts w:ascii="Times New Roman" w:eastAsia="Google Sans" w:hAnsi="Times New Roman"/>
          <w:color w:val="1F1F1F"/>
          <w:sz w:val="24"/>
          <w:szCs w:val="24"/>
        </w:rPr>
        <w:t xml:space="preserve">Zarrouk H, El Ghak T, Bakhouche A. Exploring Economic and Technological Determinants of FinTech Startups' Success and Growth in the United Arab Emirates. </w:t>
      </w:r>
      <w:r w:rsidRPr="00624E9D">
        <w:rPr>
          <w:rFonts w:ascii="Times New Roman" w:eastAsia="Google Sans" w:hAnsi="Times New Roman"/>
          <w:i/>
          <w:iCs/>
          <w:color w:val="1F1F1F"/>
          <w:sz w:val="24"/>
          <w:szCs w:val="24"/>
        </w:rPr>
        <w:t>Journal of Open Innovation: Technology, Market, and Complexity</w:t>
      </w:r>
      <w:r w:rsidRPr="00624E9D">
        <w:rPr>
          <w:rFonts w:ascii="Times New Roman" w:eastAsia="Google Sans" w:hAnsi="Times New Roman"/>
          <w:color w:val="1F1F1F"/>
          <w:sz w:val="24"/>
          <w:szCs w:val="24"/>
        </w:rPr>
        <w:t>. 2021;7(1):50.</w:t>
      </w:r>
    </w:p>
    <w:p w14:paraId="594F7096" w14:textId="77777777" w:rsidR="009B0A55" w:rsidRPr="00624E9D" w:rsidRDefault="009B0A55" w:rsidP="009B0A55">
      <w:pPr>
        <w:widowControl w:val="0"/>
        <w:numPr>
          <w:ilvl w:val="0"/>
          <w:numId w:val="2"/>
        </w:numPr>
        <w:pBdr>
          <w:top w:val="nil"/>
          <w:left w:val="nil"/>
          <w:bottom w:val="nil"/>
          <w:right w:val="nil"/>
          <w:between w:val="nil"/>
        </w:pBdr>
        <w:spacing w:after="0" w:line="275" w:lineRule="auto"/>
        <w:jc w:val="both"/>
        <w:rPr>
          <w:rFonts w:ascii="Times New Roman" w:hAnsi="Times New Roman"/>
          <w:sz w:val="24"/>
          <w:szCs w:val="24"/>
        </w:rPr>
      </w:pPr>
      <w:r w:rsidRPr="00624E9D">
        <w:rPr>
          <w:rFonts w:ascii="Times New Roman" w:eastAsia="Google Sans" w:hAnsi="Times New Roman"/>
          <w:color w:val="1F1F1F"/>
          <w:sz w:val="24"/>
          <w:szCs w:val="24"/>
        </w:rPr>
        <w:t xml:space="preserve">Troise C, Giovando G, Jabeen F, Bresciani S. Unveiling the role of entrepreneurial teams in the equity crowdfunding journey. </w:t>
      </w:r>
      <w:r w:rsidRPr="00624E9D">
        <w:rPr>
          <w:rFonts w:ascii="Times New Roman" w:eastAsia="Google Sans" w:hAnsi="Times New Roman"/>
          <w:i/>
          <w:iCs/>
          <w:color w:val="1F1F1F"/>
          <w:sz w:val="24"/>
          <w:szCs w:val="24"/>
        </w:rPr>
        <w:t>Small Business Economics</w:t>
      </w:r>
      <w:r w:rsidRPr="00624E9D">
        <w:rPr>
          <w:rFonts w:ascii="Times New Roman" w:eastAsia="Google Sans" w:hAnsi="Times New Roman"/>
          <w:color w:val="1F1F1F"/>
          <w:sz w:val="24"/>
          <w:szCs w:val="24"/>
        </w:rPr>
        <w:t>. 2024;63(4):1517-1538.</w:t>
      </w:r>
    </w:p>
    <w:p w14:paraId="579F1184" w14:textId="77777777" w:rsidR="009B0A55" w:rsidRPr="00624E9D" w:rsidRDefault="009B0A55" w:rsidP="009B0A55">
      <w:pPr>
        <w:widowControl w:val="0"/>
        <w:numPr>
          <w:ilvl w:val="0"/>
          <w:numId w:val="2"/>
        </w:numPr>
        <w:pBdr>
          <w:top w:val="nil"/>
          <w:left w:val="nil"/>
          <w:bottom w:val="nil"/>
          <w:right w:val="nil"/>
          <w:between w:val="nil"/>
        </w:pBdr>
        <w:spacing w:after="0" w:line="275" w:lineRule="auto"/>
        <w:jc w:val="both"/>
        <w:rPr>
          <w:rFonts w:ascii="Times New Roman" w:hAnsi="Times New Roman"/>
          <w:sz w:val="24"/>
          <w:szCs w:val="24"/>
        </w:rPr>
      </w:pPr>
      <w:r w:rsidRPr="00624E9D">
        <w:rPr>
          <w:rFonts w:ascii="Times New Roman" w:eastAsia="Google Sans" w:hAnsi="Times New Roman"/>
          <w:color w:val="1F1F1F"/>
          <w:sz w:val="24"/>
          <w:szCs w:val="24"/>
        </w:rPr>
        <w:t xml:space="preserve">Rossi A, Vanacker T, Vismara S. Unsuccessful Equity Crowdfunding Offerings and the Persistence in Equity Fundraising of Family Business Start-Ups. </w:t>
      </w:r>
      <w:r w:rsidRPr="00624E9D">
        <w:rPr>
          <w:rFonts w:ascii="Times New Roman" w:eastAsia="Google Sans" w:hAnsi="Times New Roman"/>
          <w:i/>
          <w:iCs/>
          <w:color w:val="1F1F1F"/>
          <w:sz w:val="24"/>
          <w:szCs w:val="24"/>
        </w:rPr>
        <w:t>Entrepreneurship Theory and Practice</w:t>
      </w:r>
      <w:r w:rsidRPr="00624E9D">
        <w:rPr>
          <w:rFonts w:ascii="Times New Roman" w:eastAsia="Google Sans" w:hAnsi="Times New Roman"/>
          <w:color w:val="1F1F1F"/>
          <w:sz w:val="24"/>
          <w:szCs w:val="24"/>
        </w:rPr>
        <w:t>. 2023;47(4):1327-1355.</w:t>
      </w:r>
    </w:p>
    <w:p w14:paraId="0C6FEBCB" w14:textId="77777777" w:rsidR="009B0A55" w:rsidRPr="00624E9D" w:rsidRDefault="009B0A55" w:rsidP="009B0A55">
      <w:pPr>
        <w:widowControl w:val="0"/>
        <w:numPr>
          <w:ilvl w:val="0"/>
          <w:numId w:val="2"/>
        </w:numPr>
        <w:pBdr>
          <w:top w:val="nil"/>
          <w:left w:val="nil"/>
          <w:bottom w:val="nil"/>
          <w:right w:val="nil"/>
          <w:between w:val="nil"/>
        </w:pBdr>
        <w:spacing w:after="0" w:line="275" w:lineRule="auto"/>
        <w:jc w:val="both"/>
        <w:rPr>
          <w:rFonts w:ascii="Times New Roman" w:hAnsi="Times New Roman"/>
          <w:sz w:val="24"/>
          <w:szCs w:val="24"/>
        </w:rPr>
      </w:pPr>
      <w:r w:rsidRPr="00624E9D">
        <w:rPr>
          <w:rFonts w:ascii="Times New Roman" w:eastAsia="Google Sans" w:hAnsi="Times New Roman"/>
          <w:color w:val="1F1F1F"/>
          <w:sz w:val="24"/>
          <w:szCs w:val="24"/>
        </w:rPr>
        <w:t xml:space="preserve">Honjo Y, Kurihara K. Target for campaign success: an empirical analysis of equity crowdfunding in Japan. </w:t>
      </w:r>
      <w:r w:rsidRPr="00624E9D">
        <w:rPr>
          <w:rFonts w:ascii="Times New Roman" w:eastAsia="Google Sans" w:hAnsi="Times New Roman"/>
          <w:i/>
          <w:iCs/>
          <w:color w:val="1F1F1F"/>
          <w:sz w:val="24"/>
          <w:szCs w:val="24"/>
        </w:rPr>
        <w:t>The Journal of Technology Transfer</w:t>
      </w:r>
      <w:r w:rsidRPr="00624E9D">
        <w:rPr>
          <w:rFonts w:ascii="Times New Roman" w:eastAsia="Google Sans" w:hAnsi="Times New Roman"/>
          <w:color w:val="1F1F1F"/>
          <w:sz w:val="24"/>
          <w:szCs w:val="24"/>
        </w:rPr>
        <w:t>. 2024;49(3):926-958.</w:t>
      </w:r>
    </w:p>
    <w:p w14:paraId="3CB5815F" w14:textId="77777777" w:rsidR="009B0A55" w:rsidRPr="00624E9D" w:rsidRDefault="009B0A55" w:rsidP="009B0A55">
      <w:pPr>
        <w:widowControl w:val="0"/>
        <w:numPr>
          <w:ilvl w:val="0"/>
          <w:numId w:val="2"/>
        </w:numPr>
        <w:pBdr>
          <w:top w:val="nil"/>
          <w:left w:val="nil"/>
          <w:bottom w:val="nil"/>
          <w:right w:val="nil"/>
          <w:between w:val="nil"/>
        </w:pBdr>
        <w:spacing w:after="0" w:line="275" w:lineRule="auto"/>
        <w:jc w:val="both"/>
        <w:rPr>
          <w:rFonts w:ascii="Times New Roman" w:hAnsi="Times New Roman"/>
          <w:sz w:val="24"/>
          <w:szCs w:val="24"/>
        </w:rPr>
      </w:pPr>
      <w:r w:rsidRPr="00624E9D">
        <w:rPr>
          <w:rFonts w:ascii="Times New Roman" w:eastAsia="Google Sans" w:hAnsi="Times New Roman"/>
          <w:color w:val="1F1F1F"/>
          <w:sz w:val="24"/>
          <w:szCs w:val="24"/>
        </w:rPr>
        <w:t xml:space="preserve">Abizar E. Pengaruh Suku Bunga BI 7-Day Repo Rate (BI7DRR) dan Fix Spread Terhadap Partisipasi Generasi Millenial Pada Sukuk Tabungan. </w:t>
      </w:r>
      <w:r w:rsidRPr="00624E9D">
        <w:rPr>
          <w:rFonts w:ascii="Times New Roman" w:eastAsia="Google Sans" w:hAnsi="Times New Roman"/>
          <w:i/>
          <w:iCs/>
          <w:color w:val="1F1F1F"/>
          <w:sz w:val="24"/>
          <w:szCs w:val="24"/>
        </w:rPr>
        <w:t>Jurnal Intelektiva</w:t>
      </w:r>
      <w:r w:rsidRPr="00624E9D">
        <w:rPr>
          <w:rFonts w:ascii="Times New Roman" w:eastAsia="Google Sans" w:hAnsi="Times New Roman"/>
          <w:color w:val="1F1F1F"/>
          <w:sz w:val="24"/>
          <w:szCs w:val="24"/>
        </w:rPr>
        <w:t>. 2020;2(3):1-10.</w:t>
      </w:r>
    </w:p>
    <w:p w14:paraId="1A30DCF3" w14:textId="77777777" w:rsidR="009B0A55" w:rsidRPr="00624E9D" w:rsidRDefault="009B0A55" w:rsidP="009B0A55">
      <w:pPr>
        <w:widowControl w:val="0"/>
        <w:numPr>
          <w:ilvl w:val="0"/>
          <w:numId w:val="2"/>
        </w:numPr>
        <w:pBdr>
          <w:top w:val="nil"/>
          <w:left w:val="nil"/>
          <w:bottom w:val="nil"/>
          <w:right w:val="nil"/>
          <w:between w:val="nil"/>
        </w:pBdr>
        <w:spacing w:after="0" w:line="275" w:lineRule="auto"/>
        <w:jc w:val="both"/>
        <w:rPr>
          <w:rFonts w:ascii="Times New Roman" w:hAnsi="Times New Roman"/>
          <w:sz w:val="24"/>
          <w:szCs w:val="24"/>
        </w:rPr>
      </w:pPr>
      <w:r w:rsidRPr="00624E9D">
        <w:rPr>
          <w:rFonts w:ascii="Times New Roman" w:eastAsia="Google Sans" w:hAnsi="Times New Roman"/>
          <w:color w:val="1F1F1F"/>
          <w:sz w:val="24"/>
          <w:szCs w:val="24"/>
        </w:rPr>
        <w:t xml:space="preserve">Al-Syafii R, dkk. Pengaruh BI Rate dan Inflasi Terhadap Profitabilitas Pada Perusahaan Fintech Yang Terdaftar di OJK. </w:t>
      </w:r>
      <w:r w:rsidRPr="00624E9D">
        <w:rPr>
          <w:rFonts w:ascii="Times New Roman" w:eastAsia="Google Sans" w:hAnsi="Times New Roman"/>
          <w:i/>
          <w:iCs/>
          <w:color w:val="1F1F1F"/>
          <w:sz w:val="24"/>
          <w:szCs w:val="24"/>
        </w:rPr>
        <w:t>Jurnal Masharif al-Syariah: Jurnal Ekonomi dan Perbankan Syariah</w:t>
      </w:r>
      <w:r w:rsidRPr="00624E9D">
        <w:rPr>
          <w:rFonts w:ascii="Times New Roman" w:eastAsia="Google Sans" w:hAnsi="Times New Roman"/>
          <w:color w:val="1F1F1F"/>
          <w:sz w:val="24"/>
          <w:szCs w:val="24"/>
        </w:rPr>
        <w:t>. 2024;9(4):2539-2550.</w:t>
      </w:r>
    </w:p>
    <w:p w14:paraId="5F991C09" w14:textId="77777777" w:rsidR="009B0A55" w:rsidRPr="00624E9D" w:rsidRDefault="009B0A55" w:rsidP="009B0A55">
      <w:pPr>
        <w:widowControl w:val="0"/>
        <w:numPr>
          <w:ilvl w:val="0"/>
          <w:numId w:val="2"/>
        </w:numPr>
        <w:pBdr>
          <w:top w:val="nil"/>
          <w:left w:val="nil"/>
          <w:bottom w:val="nil"/>
          <w:right w:val="nil"/>
          <w:between w:val="nil"/>
        </w:pBdr>
        <w:spacing w:after="0" w:line="275" w:lineRule="auto"/>
        <w:jc w:val="both"/>
        <w:rPr>
          <w:rFonts w:ascii="Times New Roman" w:hAnsi="Times New Roman"/>
          <w:sz w:val="24"/>
          <w:szCs w:val="24"/>
        </w:rPr>
      </w:pPr>
      <w:r w:rsidRPr="00624E9D">
        <w:rPr>
          <w:rFonts w:ascii="Times New Roman" w:eastAsia="Google Sans" w:hAnsi="Times New Roman"/>
          <w:color w:val="1F1F1F"/>
          <w:sz w:val="24"/>
          <w:szCs w:val="24"/>
        </w:rPr>
        <w:t xml:space="preserve">Putri NS, dkk. Pengaruh Inflasi, Nilai Tukar, dan BI Rate terhadap Volume Pertumbuhan Emisi Sukuk Korporasi di Indonesia. </w:t>
      </w:r>
      <w:r w:rsidRPr="00624E9D">
        <w:rPr>
          <w:rFonts w:ascii="Times New Roman" w:eastAsia="Google Sans" w:hAnsi="Times New Roman"/>
          <w:i/>
          <w:iCs/>
          <w:color w:val="1F1F1F"/>
          <w:sz w:val="24"/>
          <w:szCs w:val="24"/>
        </w:rPr>
        <w:t>JAIEF: Jurnal Akuntansi dan Keuangan Islam Politeknik Negeri Bandung</w:t>
      </w:r>
      <w:r w:rsidRPr="00624E9D">
        <w:rPr>
          <w:rFonts w:ascii="Times New Roman" w:eastAsia="Google Sans" w:hAnsi="Times New Roman"/>
          <w:color w:val="1F1F1F"/>
          <w:sz w:val="24"/>
          <w:szCs w:val="24"/>
        </w:rPr>
        <w:t>. 2022;1(1):15-28.</w:t>
      </w:r>
    </w:p>
    <w:permEnd w:id="317083890"/>
    <w:p w14:paraId="6FFB484B" w14:textId="77777777" w:rsidR="00FA36FE" w:rsidRDefault="00FA36FE" w:rsidP="004036C4">
      <w:pPr>
        <w:spacing w:after="0" w:line="240" w:lineRule="auto"/>
      </w:pPr>
    </w:p>
    <w:p w14:paraId="4FAA4539" w14:textId="77777777" w:rsidR="00EF0891" w:rsidRDefault="00EF0891" w:rsidP="00FA36FE"/>
    <w:p w14:paraId="522E7F70" w14:textId="77777777" w:rsidR="00EF0891" w:rsidRDefault="00EF0891" w:rsidP="00FA36FE"/>
    <w:p w14:paraId="5CDBD376" w14:textId="77777777" w:rsidR="00EF0891" w:rsidRDefault="00EF0891" w:rsidP="00FA36FE"/>
    <w:sectPr w:rsidR="00EF089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3343C6" w14:textId="77777777" w:rsidR="00133915" w:rsidRDefault="00133915" w:rsidP="0093106B">
      <w:pPr>
        <w:spacing w:after="0" w:line="240" w:lineRule="auto"/>
      </w:pPr>
      <w:r>
        <w:separator/>
      </w:r>
    </w:p>
  </w:endnote>
  <w:endnote w:type="continuationSeparator" w:id="0">
    <w:p w14:paraId="53701EF8" w14:textId="77777777" w:rsidR="00133915" w:rsidRDefault="00133915" w:rsidP="00931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ogle Sans">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DF5535" w14:textId="77777777" w:rsidR="00133915" w:rsidRDefault="00133915" w:rsidP="0093106B">
      <w:pPr>
        <w:spacing w:after="0" w:line="240" w:lineRule="auto"/>
      </w:pPr>
      <w:r>
        <w:separator/>
      </w:r>
    </w:p>
  </w:footnote>
  <w:footnote w:type="continuationSeparator" w:id="0">
    <w:p w14:paraId="69D85D8A" w14:textId="77777777" w:rsidR="00133915" w:rsidRDefault="00133915" w:rsidP="009310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C254F"/>
    <w:multiLevelType w:val="hybridMultilevel"/>
    <w:tmpl w:val="E5F80852"/>
    <w:lvl w:ilvl="0" w:tplc="04090019">
      <w:start w:val="1"/>
      <w:numFmt w:val="lowerLetter"/>
      <w:lvlText w:val="%1."/>
      <w:lvlJc w:val="left"/>
      <w:pPr>
        <w:ind w:left="1185" w:hanging="360"/>
      </w:p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1" w15:restartNumberingAfterBreak="0">
    <w:nsid w:val="27AD5D85"/>
    <w:multiLevelType w:val="multilevel"/>
    <w:tmpl w:val="52A886AA"/>
    <w:lvl w:ilvl="0">
      <w:start w:val="1"/>
      <w:numFmt w:val="decimal"/>
      <w:lvlText w:val="%1."/>
      <w:lvlJc w:val="left"/>
      <w:pPr>
        <w:ind w:left="480" w:hanging="360"/>
      </w:pPr>
      <w:rPr>
        <w:rFonts w:ascii="Times New Roman" w:eastAsia="Arial" w:hAnsi="Times New Roman" w:cs="Times New Roman" w:hint="default"/>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34847A34"/>
    <w:multiLevelType w:val="hybridMultilevel"/>
    <w:tmpl w:val="E16454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60916EA"/>
    <w:multiLevelType w:val="hybridMultilevel"/>
    <w:tmpl w:val="40FE9F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D585C88"/>
    <w:multiLevelType w:val="hybridMultilevel"/>
    <w:tmpl w:val="0B62221E"/>
    <w:lvl w:ilvl="0" w:tplc="2A882B8A">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50EE7BCB"/>
    <w:multiLevelType w:val="hybridMultilevel"/>
    <w:tmpl w:val="DE0AB0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11E591F"/>
    <w:multiLevelType w:val="multilevel"/>
    <w:tmpl w:val="6D1662C2"/>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 w15:restartNumberingAfterBreak="0">
    <w:nsid w:val="778879F6"/>
    <w:multiLevelType w:val="multilevel"/>
    <w:tmpl w:val="64601906"/>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8" w15:restartNumberingAfterBreak="0">
    <w:nsid w:val="79173566"/>
    <w:multiLevelType w:val="hybridMultilevel"/>
    <w:tmpl w:val="2BC202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8"/>
  </w:num>
  <w:num w:numId="2">
    <w:abstractNumId w:val="4"/>
  </w:num>
  <w:num w:numId="3">
    <w:abstractNumId w:val="5"/>
  </w:num>
  <w:num w:numId="4">
    <w:abstractNumId w:val="2"/>
  </w:num>
  <w:num w:numId="5">
    <w:abstractNumId w:val="3"/>
  </w:num>
  <w:num w:numId="6">
    <w:abstractNumId w:val="7"/>
  </w:num>
  <w:num w:numId="7">
    <w:abstractNumId w:val="1"/>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ocumentProtection w:edit="readOnly" w:enforcement="1" w:cryptProviderType="rsaAES" w:cryptAlgorithmClass="hash" w:cryptAlgorithmType="typeAny" w:cryptAlgorithmSid="14" w:cryptSpinCount="100000" w:hash="Etqb3eHuJUvR4+OEQFnl6okmwH9mb8IJXax/wTRisJX/EQlV7l9NxBqs9jVkcg7XAhQtLtX0JMjuKG8grvpU1A==" w:salt="taWYuk3ix2geMibYe6ce9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BB7"/>
    <w:rsid w:val="000107E6"/>
    <w:rsid w:val="00030A86"/>
    <w:rsid w:val="000668D2"/>
    <w:rsid w:val="00080FE8"/>
    <w:rsid w:val="00083674"/>
    <w:rsid w:val="000973E5"/>
    <w:rsid w:val="000B69B3"/>
    <w:rsid w:val="000C144C"/>
    <w:rsid w:val="000C76E7"/>
    <w:rsid w:val="000C799F"/>
    <w:rsid w:val="000D7629"/>
    <w:rsid w:val="00133915"/>
    <w:rsid w:val="00140C93"/>
    <w:rsid w:val="001577A7"/>
    <w:rsid w:val="0016705F"/>
    <w:rsid w:val="00171BCC"/>
    <w:rsid w:val="00171F13"/>
    <w:rsid w:val="0018240D"/>
    <w:rsid w:val="001A2D6E"/>
    <w:rsid w:val="001A4AAC"/>
    <w:rsid w:val="001B2C0A"/>
    <w:rsid w:val="001C1F6C"/>
    <w:rsid w:val="00201DFE"/>
    <w:rsid w:val="00202069"/>
    <w:rsid w:val="00203642"/>
    <w:rsid w:val="00213DEE"/>
    <w:rsid w:val="002142BD"/>
    <w:rsid w:val="0021445C"/>
    <w:rsid w:val="00222DC4"/>
    <w:rsid w:val="00225EFC"/>
    <w:rsid w:val="002273B2"/>
    <w:rsid w:val="002369FC"/>
    <w:rsid w:val="00255BD8"/>
    <w:rsid w:val="00261D76"/>
    <w:rsid w:val="00263DF1"/>
    <w:rsid w:val="002B3E86"/>
    <w:rsid w:val="002B69E3"/>
    <w:rsid w:val="002B7E7B"/>
    <w:rsid w:val="002C3797"/>
    <w:rsid w:val="002C61D1"/>
    <w:rsid w:val="002D1DEA"/>
    <w:rsid w:val="002F420A"/>
    <w:rsid w:val="0031333F"/>
    <w:rsid w:val="003222C7"/>
    <w:rsid w:val="003455DA"/>
    <w:rsid w:val="00347C50"/>
    <w:rsid w:val="003712ED"/>
    <w:rsid w:val="003D432C"/>
    <w:rsid w:val="003E6852"/>
    <w:rsid w:val="004036C4"/>
    <w:rsid w:val="0040629A"/>
    <w:rsid w:val="00417689"/>
    <w:rsid w:val="0046482F"/>
    <w:rsid w:val="00467B12"/>
    <w:rsid w:val="00472396"/>
    <w:rsid w:val="004C267C"/>
    <w:rsid w:val="004C2DEE"/>
    <w:rsid w:val="004D51AE"/>
    <w:rsid w:val="004E3157"/>
    <w:rsid w:val="00500193"/>
    <w:rsid w:val="005107D0"/>
    <w:rsid w:val="00511CA3"/>
    <w:rsid w:val="005204B3"/>
    <w:rsid w:val="005207F9"/>
    <w:rsid w:val="00532324"/>
    <w:rsid w:val="0055535E"/>
    <w:rsid w:val="005623D3"/>
    <w:rsid w:val="00585048"/>
    <w:rsid w:val="005D52F8"/>
    <w:rsid w:val="005E0782"/>
    <w:rsid w:val="005E7D39"/>
    <w:rsid w:val="005F49E5"/>
    <w:rsid w:val="00600163"/>
    <w:rsid w:val="006210EB"/>
    <w:rsid w:val="006515DD"/>
    <w:rsid w:val="00656E66"/>
    <w:rsid w:val="00664C68"/>
    <w:rsid w:val="00667DC9"/>
    <w:rsid w:val="006723E3"/>
    <w:rsid w:val="00682975"/>
    <w:rsid w:val="0069601C"/>
    <w:rsid w:val="006B0A00"/>
    <w:rsid w:val="006B3F8C"/>
    <w:rsid w:val="006D5055"/>
    <w:rsid w:val="006E33E2"/>
    <w:rsid w:val="006E40E4"/>
    <w:rsid w:val="0071768C"/>
    <w:rsid w:val="007571DD"/>
    <w:rsid w:val="00776C3D"/>
    <w:rsid w:val="007779F9"/>
    <w:rsid w:val="007843B7"/>
    <w:rsid w:val="00790F46"/>
    <w:rsid w:val="007B1599"/>
    <w:rsid w:val="007C1F61"/>
    <w:rsid w:val="007E1AC8"/>
    <w:rsid w:val="007F7613"/>
    <w:rsid w:val="0080075C"/>
    <w:rsid w:val="0081337C"/>
    <w:rsid w:val="00816ADB"/>
    <w:rsid w:val="00827492"/>
    <w:rsid w:val="008429F5"/>
    <w:rsid w:val="00845888"/>
    <w:rsid w:val="008516B3"/>
    <w:rsid w:val="008564E7"/>
    <w:rsid w:val="00876E3A"/>
    <w:rsid w:val="008B590A"/>
    <w:rsid w:val="008D753E"/>
    <w:rsid w:val="008E1A97"/>
    <w:rsid w:val="00904C0B"/>
    <w:rsid w:val="009206AB"/>
    <w:rsid w:val="0093106B"/>
    <w:rsid w:val="00934F1C"/>
    <w:rsid w:val="00951FF0"/>
    <w:rsid w:val="00957B1B"/>
    <w:rsid w:val="0096258B"/>
    <w:rsid w:val="009725CF"/>
    <w:rsid w:val="009B0A55"/>
    <w:rsid w:val="009B61E1"/>
    <w:rsid w:val="009B6465"/>
    <w:rsid w:val="009C6567"/>
    <w:rsid w:val="009E4BCB"/>
    <w:rsid w:val="009E7AF1"/>
    <w:rsid w:val="00A0376F"/>
    <w:rsid w:val="00A1321B"/>
    <w:rsid w:val="00A14AB6"/>
    <w:rsid w:val="00A20A2B"/>
    <w:rsid w:val="00A2499E"/>
    <w:rsid w:val="00A27F19"/>
    <w:rsid w:val="00A31C22"/>
    <w:rsid w:val="00A55C16"/>
    <w:rsid w:val="00A60FF9"/>
    <w:rsid w:val="00A93CBF"/>
    <w:rsid w:val="00AA7B88"/>
    <w:rsid w:val="00AD6482"/>
    <w:rsid w:val="00B22B4D"/>
    <w:rsid w:val="00B30F13"/>
    <w:rsid w:val="00B5336F"/>
    <w:rsid w:val="00B53534"/>
    <w:rsid w:val="00B53F3A"/>
    <w:rsid w:val="00B5703F"/>
    <w:rsid w:val="00B6701D"/>
    <w:rsid w:val="00B70E48"/>
    <w:rsid w:val="00B74A16"/>
    <w:rsid w:val="00B77B60"/>
    <w:rsid w:val="00BB60C8"/>
    <w:rsid w:val="00BC48DD"/>
    <w:rsid w:val="00BE7616"/>
    <w:rsid w:val="00C1121D"/>
    <w:rsid w:val="00C14739"/>
    <w:rsid w:val="00C205B4"/>
    <w:rsid w:val="00C4171F"/>
    <w:rsid w:val="00C54A54"/>
    <w:rsid w:val="00C677BD"/>
    <w:rsid w:val="00C81FEE"/>
    <w:rsid w:val="00CB104E"/>
    <w:rsid w:val="00CB183F"/>
    <w:rsid w:val="00CB5E29"/>
    <w:rsid w:val="00CB67AF"/>
    <w:rsid w:val="00CC15EA"/>
    <w:rsid w:val="00D073E9"/>
    <w:rsid w:val="00D07E24"/>
    <w:rsid w:val="00D10767"/>
    <w:rsid w:val="00D32AD0"/>
    <w:rsid w:val="00D376CF"/>
    <w:rsid w:val="00D51058"/>
    <w:rsid w:val="00D707D8"/>
    <w:rsid w:val="00D75183"/>
    <w:rsid w:val="00D766DA"/>
    <w:rsid w:val="00D93FA9"/>
    <w:rsid w:val="00D95145"/>
    <w:rsid w:val="00DA3DCB"/>
    <w:rsid w:val="00DB6D46"/>
    <w:rsid w:val="00DC7F5A"/>
    <w:rsid w:val="00DD0D05"/>
    <w:rsid w:val="00DE7A78"/>
    <w:rsid w:val="00DF1BB7"/>
    <w:rsid w:val="00DF60C3"/>
    <w:rsid w:val="00E058A3"/>
    <w:rsid w:val="00E12AD7"/>
    <w:rsid w:val="00E30BC3"/>
    <w:rsid w:val="00E33160"/>
    <w:rsid w:val="00E34724"/>
    <w:rsid w:val="00E71DEA"/>
    <w:rsid w:val="00E84401"/>
    <w:rsid w:val="00EA00B8"/>
    <w:rsid w:val="00EA0D83"/>
    <w:rsid w:val="00EA1DED"/>
    <w:rsid w:val="00EA6B03"/>
    <w:rsid w:val="00EC58D4"/>
    <w:rsid w:val="00EE5BDE"/>
    <w:rsid w:val="00EE79C6"/>
    <w:rsid w:val="00EF0891"/>
    <w:rsid w:val="00EF58F5"/>
    <w:rsid w:val="00F21D02"/>
    <w:rsid w:val="00F27FF2"/>
    <w:rsid w:val="00F364A8"/>
    <w:rsid w:val="00F44588"/>
    <w:rsid w:val="00F51720"/>
    <w:rsid w:val="00F57561"/>
    <w:rsid w:val="00F6154D"/>
    <w:rsid w:val="00F653D1"/>
    <w:rsid w:val="00F846C2"/>
    <w:rsid w:val="00FA240C"/>
    <w:rsid w:val="00FA2D74"/>
    <w:rsid w:val="00FA36FE"/>
    <w:rsid w:val="00FC6031"/>
    <w:rsid w:val="00FD5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E4B22C"/>
  <w14:defaultImageDpi w14:val="0"/>
  <w15:docId w15:val="{75F54BAE-52A8-43C9-B08E-F9174F097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1BB7"/>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F1BB7"/>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1BB7"/>
    <w:pPr>
      <w:ind w:left="720"/>
      <w:contextualSpacing/>
    </w:pPr>
  </w:style>
  <w:style w:type="character" w:styleId="PlaceholderText">
    <w:name w:val="Placeholder Text"/>
    <w:basedOn w:val="DefaultParagraphFont"/>
    <w:uiPriority w:val="99"/>
    <w:semiHidden/>
    <w:rsid w:val="00D07E24"/>
    <w:rPr>
      <w:rFonts w:cs="Times New Roman"/>
      <w:color w:val="808080"/>
    </w:rPr>
  </w:style>
  <w:style w:type="character" w:styleId="Hyperlink">
    <w:name w:val="Hyperlink"/>
    <w:basedOn w:val="DefaultParagraphFont"/>
    <w:uiPriority w:val="99"/>
    <w:unhideWhenUsed/>
    <w:rsid w:val="00D707D8"/>
    <w:rPr>
      <w:rFonts w:cs="Times New Roman"/>
      <w:color w:val="0563C1" w:themeColor="hyperlink"/>
      <w:u w:val="single"/>
    </w:rPr>
  </w:style>
  <w:style w:type="paragraph" w:styleId="Header">
    <w:name w:val="header"/>
    <w:basedOn w:val="Normal"/>
    <w:link w:val="HeaderChar"/>
    <w:uiPriority w:val="99"/>
    <w:unhideWhenUsed/>
    <w:rsid w:val="00931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06B"/>
    <w:rPr>
      <w:rFonts w:cs="Times New Roman"/>
    </w:rPr>
  </w:style>
  <w:style w:type="paragraph" w:styleId="Footer">
    <w:name w:val="footer"/>
    <w:basedOn w:val="Normal"/>
    <w:link w:val="FooterChar"/>
    <w:uiPriority w:val="99"/>
    <w:unhideWhenUsed/>
    <w:rsid w:val="009310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06B"/>
    <w:rPr>
      <w:rFonts w:cs="Times New Roman"/>
    </w:rPr>
  </w:style>
  <w:style w:type="character" w:customStyle="1" w:styleId="fontstyle01">
    <w:name w:val="fontstyle01"/>
    <w:basedOn w:val="DefaultParagraphFont"/>
    <w:rsid w:val="007C1F61"/>
    <w:rPr>
      <w:rFonts w:ascii="Tahoma" w:hAnsi="Tahoma" w:cs="Tahoma" w:hint="default"/>
      <w:b w:val="0"/>
      <w:bCs w:val="0"/>
      <w:i w:val="0"/>
      <w:iCs w:val="0"/>
      <w:color w:val="000000"/>
      <w:sz w:val="22"/>
      <w:szCs w:val="22"/>
    </w:rPr>
  </w:style>
  <w:style w:type="paragraph" w:customStyle="1" w:styleId="Isian">
    <w:name w:val="Isian"/>
    <w:basedOn w:val="Normal"/>
    <w:link w:val="IsianChar"/>
    <w:qFormat/>
    <w:rsid w:val="008516B3"/>
    <w:pPr>
      <w:widowControl w:val="0"/>
      <w:autoSpaceDE w:val="0"/>
      <w:autoSpaceDN w:val="0"/>
      <w:spacing w:after="0" w:line="240" w:lineRule="auto"/>
      <w:jc w:val="both"/>
    </w:pPr>
    <w:rPr>
      <w:rFonts w:ascii="Times New Roman" w:hAnsi="Times New Roman"/>
      <w:sz w:val="24"/>
      <w:szCs w:val="24"/>
      <w:lang w:val="id" w:eastAsia="id"/>
    </w:rPr>
  </w:style>
  <w:style w:type="character" w:customStyle="1" w:styleId="IsianChar">
    <w:name w:val="Isian Char"/>
    <w:basedOn w:val="DefaultParagraphFont"/>
    <w:link w:val="Isian"/>
    <w:qFormat/>
    <w:rsid w:val="008516B3"/>
    <w:rPr>
      <w:rFonts w:ascii="Times New Roman" w:hAnsi="Times New Roman" w:cs="Times New Roman"/>
      <w:sz w:val="24"/>
      <w:szCs w:val="24"/>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microsoft.com/office/2007/relationships/diagramDrawing" Target="diagrams/drawing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diagramLayout" Target="diagrams/layout2.xml"/><Relationship Id="rId10" Type="http://schemas.openxmlformats.org/officeDocument/2006/relationships/diagramLayout" Target="diagrams/layou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7ADBF50-AE9F-4B85-A411-95C66D0FB32E}" type="doc">
      <dgm:prSet loTypeId="urn:microsoft.com/office/officeart/2005/8/layout/vProcess5" loCatId="process" qsTypeId="urn:microsoft.com/office/officeart/2005/8/quickstyle/simple1" qsCatId="simple" csTypeId="urn:microsoft.com/office/officeart/2005/8/colors/colorful1" csCatId="colorful" phldr="1"/>
      <dgm:spPr/>
    </dgm:pt>
    <dgm:pt modelId="{F62DEFF0-B4B8-4D4C-966F-CFA2DF7A3B2B}">
      <dgm:prSet phldrT="[Text]"/>
      <dgm:spPr/>
      <dgm:t>
        <a:bodyPr/>
        <a:lstStyle/>
        <a:p>
          <a:pPr>
            <a:buNone/>
          </a:pPr>
          <a:r>
            <a:rPr lang="en-ID" b="1"/>
            <a:t>2025 (Fokus Saat Ini):</a:t>
          </a:r>
          <a:r>
            <a:rPr lang="en-ID"/>
            <a:t> Analisis determinan jumlah partisipasi pemodal dengan faktor ROI, Tenor, Nilai Pendanaan, dan moderasi makroekonomi (BI-Rate) menggunakan pendekatan PLS-SEM pada platform shafiq.id</a:t>
          </a:r>
        </a:p>
      </dgm:t>
    </dgm:pt>
    <dgm:pt modelId="{C1D7973E-D90E-454B-9C86-26A081F88B9B}" type="parTrans" cxnId="{4323AEAC-2D55-4F04-A35D-E63E05F42B35}">
      <dgm:prSet/>
      <dgm:spPr/>
      <dgm:t>
        <a:bodyPr/>
        <a:lstStyle/>
        <a:p>
          <a:endParaRPr lang="en-ID"/>
        </a:p>
      </dgm:t>
    </dgm:pt>
    <dgm:pt modelId="{0F62D130-7490-48EB-BF4A-CBED489C7C6D}" type="sibTrans" cxnId="{4323AEAC-2D55-4F04-A35D-E63E05F42B35}">
      <dgm:prSet/>
      <dgm:spPr/>
      <dgm:t>
        <a:bodyPr/>
        <a:lstStyle/>
        <a:p>
          <a:endParaRPr lang="en-ID"/>
        </a:p>
      </dgm:t>
    </dgm:pt>
    <dgm:pt modelId="{4013F1F0-613D-4B8D-BFFC-FC72D5A85599}">
      <dgm:prSet phldrT="[Text]"/>
      <dgm:spPr/>
      <dgm:t>
        <a:bodyPr/>
        <a:lstStyle/>
        <a:p>
          <a:pPr>
            <a:buClr>
              <a:srgbClr val="000000"/>
            </a:buClr>
            <a:buSzPts val="1100"/>
            <a:buFont typeface="Arial" panose="020B0604020202020204" pitchFamily="34" charset="0"/>
            <a:buChar char="●"/>
          </a:pPr>
          <a:r>
            <a:rPr lang="en-ID" b="1" u="none"/>
            <a:t>2026:</a:t>
          </a:r>
          <a:r>
            <a:rPr lang="en-ID" u="none"/>
            <a:t> Komparasi komprehensif perilaku pemodal pada seluruh platform </a:t>
          </a:r>
          <a:r>
            <a:rPr lang="en-ID" i="1" u="none"/>
            <a:t>Securities Crowdfunding</a:t>
          </a:r>
          <a:r>
            <a:rPr lang="en-ID" u="none"/>
            <a:t> Syariah dan Konvensional di Indonesia terhadap </a:t>
          </a:r>
          <a:r>
            <a:rPr lang="en-ID" i="1" u="none"/>
            <a:t>shock</a:t>
          </a:r>
          <a:r>
            <a:rPr lang="en-ID" u="none"/>
            <a:t> indikator makroekonomi.</a:t>
          </a:r>
          <a:endParaRPr lang="en-ID"/>
        </a:p>
      </dgm:t>
    </dgm:pt>
    <dgm:pt modelId="{0FAC1309-20F6-473C-A73B-1F006C4977BC}" type="parTrans" cxnId="{D38DF570-5F33-4068-9C3D-8A28234B3107}">
      <dgm:prSet/>
      <dgm:spPr/>
      <dgm:t>
        <a:bodyPr/>
        <a:lstStyle/>
        <a:p>
          <a:endParaRPr lang="en-ID"/>
        </a:p>
      </dgm:t>
    </dgm:pt>
    <dgm:pt modelId="{B55E7E75-1C30-4009-A9E3-302980226A39}" type="sibTrans" cxnId="{D38DF570-5F33-4068-9C3D-8A28234B3107}">
      <dgm:prSet/>
      <dgm:spPr/>
      <dgm:t>
        <a:bodyPr/>
        <a:lstStyle/>
        <a:p>
          <a:endParaRPr lang="en-ID"/>
        </a:p>
      </dgm:t>
    </dgm:pt>
    <dgm:pt modelId="{E2A94469-0C19-4598-9DCB-78252B458A30}">
      <dgm:prSet phldrT="[Text]"/>
      <dgm:spPr/>
      <dgm:t>
        <a:bodyPr/>
        <a:lstStyle/>
        <a:p>
          <a:pPr>
            <a:buClr>
              <a:srgbClr val="000000"/>
            </a:buClr>
            <a:buSzPts val="1100"/>
            <a:buFont typeface="Arial" panose="020B0604020202020204" pitchFamily="34" charset="0"/>
            <a:buChar char="●"/>
          </a:pPr>
          <a:r>
            <a:rPr lang="en-ID" b="1" u="none"/>
            <a:t>2027:</a:t>
          </a:r>
          <a:r>
            <a:rPr lang="en-ID" u="none"/>
            <a:t> Integrasi sentimen analisis </a:t>
          </a:r>
          <a:r>
            <a:rPr lang="en-ID" i="1" u="none"/>
            <a:t>Big Data</a:t>
          </a:r>
          <a:r>
            <a:rPr lang="en-ID" u="none"/>
            <a:t> media sosial dan tingkat inflasi terhadap probabilitas keberhasilan </a:t>
          </a:r>
          <a:r>
            <a:rPr lang="en-ID" i="1" u="none"/>
            <a:t>fundraising</a:t>
          </a:r>
          <a:r>
            <a:rPr lang="en-ID" u="none"/>
            <a:t> SCF Syariah.</a:t>
          </a:r>
          <a:endParaRPr lang="en-ID"/>
        </a:p>
      </dgm:t>
    </dgm:pt>
    <dgm:pt modelId="{989D9D12-7ECC-4C31-9F12-6E6CA13E8930}" type="parTrans" cxnId="{824856B0-A1BE-4BC2-8FB3-185804BD6BF7}">
      <dgm:prSet/>
      <dgm:spPr/>
      <dgm:t>
        <a:bodyPr/>
        <a:lstStyle/>
        <a:p>
          <a:endParaRPr lang="en-ID"/>
        </a:p>
      </dgm:t>
    </dgm:pt>
    <dgm:pt modelId="{CC04ED1E-962F-4C18-87A4-380C5A1DAE3E}" type="sibTrans" cxnId="{824856B0-A1BE-4BC2-8FB3-185804BD6BF7}">
      <dgm:prSet/>
      <dgm:spPr/>
      <dgm:t>
        <a:bodyPr/>
        <a:lstStyle/>
        <a:p>
          <a:endParaRPr lang="en-ID"/>
        </a:p>
      </dgm:t>
    </dgm:pt>
    <dgm:pt modelId="{ED5D32BE-6BA3-44AE-9A61-8B5C55C9F2BB}">
      <dgm:prSet phldrT="[Text]"/>
      <dgm:spPr/>
      <dgm:t>
        <a:bodyPr/>
        <a:lstStyle/>
        <a:p>
          <a:pPr>
            <a:buClr>
              <a:srgbClr val="000000"/>
            </a:buClr>
            <a:buSzPts val="1100"/>
            <a:buFont typeface="Arial" panose="020B0604020202020204" pitchFamily="34" charset="0"/>
            <a:buChar char="●"/>
          </a:pPr>
          <a:r>
            <a:rPr lang="en-ID" b="1" u="none"/>
            <a:t>2028:</a:t>
          </a:r>
          <a:r>
            <a:rPr lang="en-ID" u="none"/>
            <a:t> Pengembangan algoritma </a:t>
          </a:r>
          <a:r>
            <a:rPr lang="en-ID" i="1" u="none"/>
            <a:t>Machine Learning</a:t>
          </a:r>
          <a:r>
            <a:rPr lang="en-ID" u="none"/>
            <a:t> untuk memprediksi risiko gagal bayar (</a:t>
          </a:r>
          <a:r>
            <a:rPr lang="en-ID" i="1" u="none"/>
            <a:t>default</a:t>
          </a:r>
          <a:r>
            <a:rPr lang="en-ID" u="none"/>
            <a:t>) pada instrumen Sukuk UMKM di platform digital.</a:t>
          </a:r>
          <a:endParaRPr lang="en-ID"/>
        </a:p>
      </dgm:t>
    </dgm:pt>
    <dgm:pt modelId="{B85B9752-5486-4EC8-9AF3-A62F468C02B4}" type="parTrans" cxnId="{EFFEFEA7-76B5-4A9E-B0F9-D986143F1EF1}">
      <dgm:prSet/>
      <dgm:spPr/>
      <dgm:t>
        <a:bodyPr/>
        <a:lstStyle/>
        <a:p>
          <a:endParaRPr lang="en-ID"/>
        </a:p>
      </dgm:t>
    </dgm:pt>
    <dgm:pt modelId="{4FB8C82A-E27E-4165-8E37-E9DC8D80FC86}" type="sibTrans" cxnId="{EFFEFEA7-76B5-4A9E-B0F9-D986143F1EF1}">
      <dgm:prSet/>
      <dgm:spPr/>
      <dgm:t>
        <a:bodyPr/>
        <a:lstStyle/>
        <a:p>
          <a:endParaRPr lang="en-ID"/>
        </a:p>
      </dgm:t>
    </dgm:pt>
    <dgm:pt modelId="{90F6EDC1-F455-4FE7-9C9E-52E38B52CB78}">
      <dgm:prSet phldrT="[Text]"/>
      <dgm:spPr/>
      <dgm:t>
        <a:bodyPr/>
        <a:lstStyle/>
        <a:p>
          <a:pPr>
            <a:buClr>
              <a:srgbClr val="000000"/>
            </a:buClr>
            <a:buSzPts val="1100"/>
            <a:buFont typeface="Arial" panose="020B0604020202020204" pitchFamily="34" charset="0"/>
            <a:buChar char="●"/>
          </a:pPr>
          <a:r>
            <a:rPr lang="en-ID" b="1" u="none"/>
            <a:t>2029:</a:t>
          </a:r>
          <a:r>
            <a:rPr lang="en-ID" u="none"/>
            <a:t> Penyusunan draf rekomendasi kebijakan mitigasi risiko investasi digital bagi Otoritas Jasa Keuangan (OJK) dan Asosiasi Fintech Syariah Indonesia (AFSI).</a:t>
          </a:r>
          <a:endParaRPr lang="en-ID"/>
        </a:p>
      </dgm:t>
    </dgm:pt>
    <dgm:pt modelId="{F0870122-8712-4570-B426-1D06332E0915}" type="sibTrans" cxnId="{765FD7A1-003A-4184-8A3F-B9787E54C3C2}">
      <dgm:prSet/>
      <dgm:spPr/>
      <dgm:t>
        <a:bodyPr/>
        <a:lstStyle/>
        <a:p>
          <a:endParaRPr lang="en-ID"/>
        </a:p>
      </dgm:t>
    </dgm:pt>
    <dgm:pt modelId="{8C64CAD1-2D76-45D7-90AF-9F578CD19651}" type="parTrans" cxnId="{765FD7A1-003A-4184-8A3F-B9787E54C3C2}">
      <dgm:prSet/>
      <dgm:spPr/>
      <dgm:t>
        <a:bodyPr/>
        <a:lstStyle/>
        <a:p>
          <a:endParaRPr lang="en-ID"/>
        </a:p>
      </dgm:t>
    </dgm:pt>
    <dgm:pt modelId="{39CB8651-324C-498F-9235-D7BB618B4E81}" type="pres">
      <dgm:prSet presAssocID="{A7ADBF50-AE9F-4B85-A411-95C66D0FB32E}" presName="outerComposite" presStyleCnt="0">
        <dgm:presLayoutVars>
          <dgm:chMax val="5"/>
          <dgm:dir/>
          <dgm:resizeHandles val="exact"/>
        </dgm:presLayoutVars>
      </dgm:prSet>
      <dgm:spPr/>
    </dgm:pt>
    <dgm:pt modelId="{DE94C59C-3E58-4451-8C2E-FB749E773B37}" type="pres">
      <dgm:prSet presAssocID="{A7ADBF50-AE9F-4B85-A411-95C66D0FB32E}" presName="dummyMaxCanvas" presStyleCnt="0">
        <dgm:presLayoutVars/>
      </dgm:prSet>
      <dgm:spPr/>
    </dgm:pt>
    <dgm:pt modelId="{C4A9C614-2739-4E92-8A0A-D29845C0CE58}" type="pres">
      <dgm:prSet presAssocID="{A7ADBF50-AE9F-4B85-A411-95C66D0FB32E}" presName="FiveNodes_1" presStyleLbl="node1" presStyleIdx="0" presStyleCnt="5">
        <dgm:presLayoutVars>
          <dgm:bulletEnabled val="1"/>
        </dgm:presLayoutVars>
      </dgm:prSet>
      <dgm:spPr/>
      <dgm:t>
        <a:bodyPr/>
        <a:lstStyle/>
        <a:p>
          <a:endParaRPr lang="en-US"/>
        </a:p>
      </dgm:t>
    </dgm:pt>
    <dgm:pt modelId="{0B75B8C3-E512-4059-A077-46CB7F6B3FF0}" type="pres">
      <dgm:prSet presAssocID="{A7ADBF50-AE9F-4B85-A411-95C66D0FB32E}" presName="FiveNodes_2" presStyleLbl="node1" presStyleIdx="1" presStyleCnt="5">
        <dgm:presLayoutVars>
          <dgm:bulletEnabled val="1"/>
        </dgm:presLayoutVars>
      </dgm:prSet>
      <dgm:spPr/>
      <dgm:t>
        <a:bodyPr/>
        <a:lstStyle/>
        <a:p>
          <a:endParaRPr lang="en-US"/>
        </a:p>
      </dgm:t>
    </dgm:pt>
    <dgm:pt modelId="{5505D204-D185-4728-A069-B57BE09622AC}" type="pres">
      <dgm:prSet presAssocID="{A7ADBF50-AE9F-4B85-A411-95C66D0FB32E}" presName="FiveNodes_3" presStyleLbl="node1" presStyleIdx="2" presStyleCnt="5">
        <dgm:presLayoutVars>
          <dgm:bulletEnabled val="1"/>
        </dgm:presLayoutVars>
      </dgm:prSet>
      <dgm:spPr/>
      <dgm:t>
        <a:bodyPr/>
        <a:lstStyle/>
        <a:p>
          <a:endParaRPr lang="en-US"/>
        </a:p>
      </dgm:t>
    </dgm:pt>
    <dgm:pt modelId="{15B608B2-012C-4687-B812-0572742C0ED8}" type="pres">
      <dgm:prSet presAssocID="{A7ADBF50-AE9F-4B85-A411-95C66D0FB32E}" presName="FiveNodes_4" presStyleLbl="node1" presStyleIdx="3" presStyleCnt="5">
        <dgm:presLayoutVars>
          <dgm:bulletEnabled val="1"/>
        </dgm:presLayoutVars>
      </dgm:prSet>
      <dgm:spPr/>
      <dgm:t>
        <a:bodyPr/>
        <a:lstStyle/>
        <a:p>
          <a:endParaRPr lang="en-US"/>
        </a:p>
      </dgm:t>
    </dgm:pt>
    <dgm:pt modelId="{00BD2881-89EE-4C0B-8A54-DDAB189BA4AE}" type="pres">
      <dgm:prSet presAssocID="{A7ADBF50-AE9F-4B85-A411-95C66D0FB32E}" presName="FiveNodes_5" presStyleLbl="node1" presStyleIdx="4" presStyleCnt="5">
        <dgm:presLayoutVars>
          <dgm:bulletEnabled val="1"/>
        </dgm:presLayoutVars>
      </dgm:prSet>
      <dgm:spPr/>
      <dgm:t>
        <a:bodyPr/>
        <a:lstStyle/>
        <a:p>
          <a:endParaRPr lang="en-US"/>
        </a:p>
      </dgm:t>
    </dgm:pt>
    <dgm:pt modelId="{2FC3CAEB-7280-456C-98BA-3F5CAF9FFCB6}" type="pres">
      <dgm:prSet presAssocID="{A7ADBF50-AE9F-4B85-A411-95C66D0FB32E}" presName="FiveConn_1-2" presStyleLbl="fgAccFollowNode1" presStyleIdx="0" presStyleCnt="4">
        <dgm:presLayoutVars>
          <dgm:bulletEnabled val="1"/>
        </dgm:presLayoutVars>
      </dgm:prSet>
      <dgm:spPr/>
      <dgm:t>
        <a:bodyPr/>
        <a:lstStyle/>
        <a:p>
          <a:endParaRPr lang="en-US"/>
        </a:p>
      </dgm:t>
    </dgm:pt>
    <dgm:pt modelId="{F26037C3-3AFF-4CA6-AF01-E102CCFF18AF}" type="pres">
      <dgm:prSet presAssocID="{A7ADBF50-AE9F-4B85-A411-95C66D0FB32E}" presName="FiveConn_2-3" presStyleLbl="fgAccFollowNode1" presStyleIdx="1" presStyleCnt="4">
        <dgm:presLayoutVars>
          <dgm:bulletEnabled val="1"/>
        </dgm:presLayoutVars>
      </dgm:prSet>
      <dgm:spPr/>
      <dgm:t>
        <a:bodyPr/>
        <a:lstStyle/>
        <a:p>
          <a:endParaRPr lang="en-US"/>
        </a:p>
      </dgm:t>
    </dgm:pt>
    <dgm:pt modelId="{292A9C3F-B64B-4CBF-9F88-9954C9373414}" type="pres">
      <dgm:prSet presAssocID="{A7ADBF50-AE9F-4B85-A411-95C66D0FB32E}" presName="FiveConn_3-4" presStyleLbl="fgAccFollowNode1" presStyleIdx="2" presStyleCnt="4">
        <dgm:presLayoutVars>
          <dgm:bulletEnabled val="1"/>
        </dgm:presLayoutVars>
      </dgm:prSet>
      <dgm:spPr/>
      <dgm:t>
        <a:bodyPr/>
        <a:lstStyle/>
        <a:p>
          <a:endParaRPr lang="en-US"/>
        </a:p>
      </dgm:t>
    </dgm:pt>
    <dgm:pt modelId="{3860562C-80DA-4D91-B43C-6A979B7CCBB8}" type="pres">
      <dgm:prSet presAssocID="{A7ADBF50-AE9F-4B85-A411-95C66D0FB32E}" presName="FiveConn_4-5" presStyleLbl="fgAccFollowNode1" presStyleIdx="3" presStyleCnt="4">
        <dgm:presLayoutVars>
          <dgm:bulletEnabled val="1"/>
        </dgm:presLayoutVars>
      </dgm:prSet>
      <dgm:spPr/>
      <dgm:t>
        <a:bodyPr/>
        <a:lstStyle/>
        <a:p>
          <a:endParaRPr lang="en-US"/>
        </a:p>
      </dgm:t>
    </dgm:pt>
    <dgm:pt modelId="{32D919FF-9C50-40CD-B173-4039B81A6B07}" type="pres">
      <dgm:prSet presAssocID="{A7ADBF50-AE9F-4B85-A411-95C66D0FB32E}" presName="FiveNodes_1_text" presStyleLbl="node1" presStyleIdx="4" presStyleCnt="5">
        <dgm:presLayoutVars>
          <dgm:bulletEnabled val="1"/>
        </dgm:presLayoutVars>
      </dgm:prSet>
      <dgm:spPr/>
      <dgm:t>
        <a:bodyPr/>
        <a:lstStyle/>
        <a:p>
          <a:endParaRPr lang="en-US"/>
        </a:p>
      </dgm:t>
    </dgm:pt>
    <dgm:pt modelId="{3E537CAF-B04E-42BF-A83A-9B754183646C}" type="pres">
      <dgm:prSet presAssocID="{A7ADBF50-AE9F-4B85-A411-95C66D0FB32E}" presName="FiveNodes_2_text" presStyleLbl="node1" presStyleIdx="4" presStyleCnt="5">
        <dgm:presLayoutVars>
          <dgm:bulletEnabled val="1"/>
        </dgm:presLayoutVars>
      </dgm:prSet>
      <dgm:spPr/>
      <dgm:t>
        <a:bodyPr/>
        <a:lstStyle/>
        <a:p>
          <a:endParaRPr lang="en-US"/>
        </a:p>
      </dgm:t>
    </dgm:pt>
    <dgm:pt modelId="{F3B68A0B-146C-4263-8D5A-470B2EA967FA}" type="pres">
      <dgm:prSet presAssocID="{A7ADBF50-AE9F-4B85-A411-95C66D0FB32E}" presName="FiveNodes_3_text" presStyleLbl="node1" presStyleIdx="4" presStyleCnt="5">
        <dgm:presLayoutVars>
          <dgm:bulletEnabled val="1"/>
        </dgm:presLayoutVars>
      </dgm:prSet>
      <dgm:spPr/>
      <dgm:t>
        <a:bodyPr/>
        <a:lstStyle/>
        <a:p>
          <a:endParaRPr lang="en-US"/>
        </a:p>
      </dgm:t>
    </dgm:pt>
    <dgm:pt modelId="{F4DAB366-88FF-4DA1-89B4-045BB8C741F0}" type="pres">
      <dgm:prSet presAssocID="{A7ADBF50-AE9F-4B85-A411-95C66D0FB32E}" presName="FiveNodes_4_text" presStyleLbl="node1" presStyleIdx="4" presStyleCnt="5">
        <dgm:presLayoutVars>
          <dgm:bulletEnabled val="1"/>
        </dgm:presLayoutVars>
      </dgm:prSet>
      <dgm:spPr/>
      <dgm:t>
        <a:bodyPr/>
        <a:lstStyle/>
        <a:p>
          <a:endParaRPr lang="en-US"/>
        </a:p>
      </dgm:t>
    </dgm:pt>
    <dgm:pt modelId="{702EE352-1417-4BBE-BFAD-C5074264735D}" type="pres">
      <dgm:prSet presAssocID="{A7ADBF50-AE9F-4B85-A411-95C66D0FB32E}" presName="FiveNodes_5_text" presStyleLbl="node1" presStyleIdx="4" presStyleCnt="5">
        <dgm:presLayoutVars>
          <dgm:bulletEnabled val="1"/>
        </dgm:presLayoutVars>
      </dgm:prSet>
      <dgm:spPr/>
      <dgm:t>
        <a:bodyPr/>
        <a:lstStyle/>
        <a:p>
          <a:endParaRPr lang="en-US"/>
        </a:p>
      </dgm:t>
    </dgm:pt>
  </dgm:ptLst>
  <dgm:cxnLst>
    <dgm:cxn modelId="{D0E89EB3-BE24-4BB0-91A1-91D30129BFE3}" type="presOf" srcId="{B55E7E75-1C30-4009-A9E3-302980226A39}" destId="{F26037C3-3AFF-4CA6-AF01-E102CCFF18AF}" srcOrd="0" destOrd="0" presId="urn:microsoft.com/office/officeart/2005/8/layout/vProcess5"/>
    <dgm:cxn modelId="{1E3E844E-D044-44C4-B054-70B08CEF1877}" type="presOf" srcId="{90F6EDC1-F455-4FE7-9C9E-52E38B52CB78}" destId="{702EE352-1417-4BBE-BFAD-C5074264735D}" srcOrd="1" destOrd="0" presId="urn:microsoft.com/office/officeart/2005/8/layout/vProcess5"/>
    <dgm:cxn modelId="{9FABCE97-0EB6-4857-AAA0-3C017ACF392C}" type="presOf" srcId="{4013F1F0-613D-4B8D-BFFC-FC72D5A85599}" destId="{0B75B8C3-E512-4059-A077-46CB7F6B3FF0}" srcOrd="0" destOrd="0" presId="urn:microsoft.com/office/officeart/2005/8/layout/vProcess5"/>
    <dgm:cxn modelId="{B1120935-636B-4619-AF71-8776656476EA}" type="presOf" srcId="{F62DEFF0-B4B8-4D4C-966F-CFA2DF7A3B2B}" destId="{32D919FF-9C50-40CD-B173-4039B81A6B07}" srcOrd="1" destOrd="0" presId="urn:microsoft.com/office/officeart/2005/8/layout/vProcess5"/>
    <dgm:cxn modelId="{095FD6B8-21C8-4A6C-9355-29F5B8608980}" type="presOf" srcId="{4FB8C82A-E27E-4165-8E37-E9DC8D80FC86}" destId="{3860562C-80DA-4D91-B43C-6A979B7CCBB8}" srcOrd="0" destOrd="0" presId="urn:microsoft.com/office/officeart/2005/8/layout/vProcess5"/>
    <dgm:cxn modelId="{DE324B18-013E-4303-90E8-9B201E4CAA99}" type="presOf" srcId="{4013F1F0-613D-4B8D-BFFC-FC72D5A85599}" destId="{3E537CAF-B04E-42BF-A83A-9B754183646C}" srcOrd="1" destOrd="0" presId="urn:microsoft.com/office/officeart/2005/8/layout/vProcess5"/>
    <dgm:cxn modelId="{4323AEAC-2D55-4F04-A35D-E63E05F42B35}" srcId="{A7ADBF50-AE9F-4B85-A411-95C66D0FB32E}" destId="{F62DEFF0-B4B8-4D4C-966F-CFA2DF7A3B2B}" srcOrd="0" destOrd="0" parTransId="{C1D7973E-D90E-454B-9C86-26A081F88B9B}" sibTransId="{0F62D130-7490-48EB-BF4A-CBED489C7C6D}"/>
    <dgm:cxn modelId="{824856B0-A1BE-4BC2-8FB3-185804BD6BF7}" srcId="{A7ADBF50-AE9F-4B85-A411-95C66D0FB32E}" destId="{E2A94469-0C19-4598-9DCB-78252B458A30}" srcOrd="2" destOrd="0" parTransId="{989D9D12-7ECC-4C31-9F12-6E6CA13E8930}" sibTransId="{CC04ED1E-962F-4C18-87A4-380C5A1DAE3E}"/>
    <dgm:cxn modelId="{765FD7A1-003A-4184-8A3F-B9787E54C3C2}" srcId="{A7ADBF50-AE9F-4B85-A411-95C66D0FB32E}" destId="{90F6EDC1-F455-4FE7-9C9E-52E38B52CB78}" srcOrd="4" destOrd="0" parTransId="{8C64CAD1-2D76-45D7-90AF-9F578CD19651}" sibTransId="{F0870122-8712-4570-B426-1D06332E0915}"/>
    <dgm:cxn modelId="{136215CB-A3D0-4FD1-960D-FC702207114C}" type="presOf" srcId="{CC04ED1E-962F-4C18-87A4-380C5A1DAE3E}" destId="{292A9C3F-B64B-4CBF-9F88-9954C9373414}" srcOrd="0" destOrd="0" presId="urn:microsoft.com/office/officeart/2005/8/layout/vProcess5"/>
    <dgm:cxn modelId="{DF786243-F058-4640-95C9-5B83093BCCD7}" type="presOf" srcId="{ED5D32BE-6BA3-44AE-9A61-8B5C55C9F2BB}" destId="{F4DAB366-88FF-4DA1-89B4-045BB8C741F0}" srcOrd="1" destOrd="0" presId="urn:microsoft.com/office/officeart/2005/8/layout/vProcess5"/>
    <dgm:cxn modelId="{0A4B16B5-C76C-4752-921C-854A1EB1FAD4}" type="presOf" srcId="{E2A94469-0C19-4598-9DCB-78252B458A30}" destId="{5505D204-D185-4728-A069-B57BE09622AC}" srcOrd="0" destOrd="0" presId="urn:microsoft.com/office/officeart/2005/8/layout/vProcess5"/>
    <dgm:cxn modelId="{635FB56B-24CC-4BC7-AEF6-21F815774C8A}" type="presOf" srcId="{E2A94469-0C19-4598-9DCB-78252B458A30}" destId="{F3B68A0B-146C-4263-8D5A-470B2EA967FA}" srcOrd="1" destOrd="0" presId="urn:microsoft.com/office/officeart/2005/8/layout/vProcess5"/>
    <dgm:cxn modelId="{361A3DA6-1637-41FD-995E-0E89CD645939}" type="presOf" srcId="{0F62D130-7490-48EB-BF4A-CBED489C7C6D}" destId="{2FC3CAEB-7280-456C-98BA-3F5CAF9FFCB6}" srcOrd="0" destOrd="0" presId="urn:microsoft.com/office/officeart/2005/8/layout/vProcess5"/>
    <dgm:cxn modelId="{D38DF570-5F33-4068-9C3D-8A28234B3107}" srcId="{A7ADBF50-AE9F-4B85-A411-95C66D0FB32E}" destId="{4013F1F0-613D-4B8D-BFFC-FC72D5A85599}" srcOrd="1" destOrd="0" parTransId="{0FAC1309-20F6-473C-A73B-1F006C4977BC}" sibTransId="{B55E7E75-1C30-4009-A9E3-302980226A39}"/>
    <dgm:cxn modelId="{8162A0BA-5C0F-4049-A289-EA3D520F9195}" type="presOf" srcId="{90F6EDC1-F455-4FE7-9C9E-52E38B52CB78}" destId="{00BD2881-89EE-4C0B-8A54-DDAB189BA4AE}" srcOrd="0" destOrd="0" presId="urn:microsoft.com/office/officeart/2005/8/layout/vProcess5"/>
    <dgm:cxn modelId="{3B704FBD-AE0F-4C30-9B97-9E358BC21BEA}" type="presOf" srcId="{F62DEFF0-B4B8-4D4C-966F-CFA2DF7A3B2B}" destId="{C4A9C614-2739-4E92-8A0A-D29845C0CE58}" srcOrd="0" destOrd="0" presId="urn:microsoft.com/office/officeart/2005/8/layout/vProcess5"/>
    <dgm:cxn modelId="{C0265677-8B5F-41AB-8483-112A96FC27E1}" type="presOf" srcId="{ED5D32BE-6BA3-44AE-9A61-8B5C55C9F2BB}" destId="{15B608B2-012C-4687-B812-0572742C0ED8}" srcOrd="0" destOrd="0" presId="urn:microsoft.com/office/officeart/2005/8/layout/vProcess5"/>
    <dgm:cxn modelId="{EFFEFEA7-76B5-4A9E-B0F9-D986143F1EF1}" srcId="{A7ADBF50-AE9F-4B85-A411-95C66D0FB32E}" destId="{ED5D32BE-6BA3-44AE-9A61-8B5C55C9F2BB}" srcOrd="3" destOrd="0" parTransId="{B85B9752-5486-4EC8-9AF3-A62F468C02B4}" sibTransId="{4FB8C82A-E27E-4165-8E37-E9DC8D80FC86}"/>
    <dgm:cxn modelId="{0B08D890-7968-48B1-842C-C697C15B3D67}" type="presOf" srcId="{A7ADBF50-AE9F-4B85-A411-95C66D0FB32E}" destId="{39CB8651-324C-498F-9235-D7BB618B4E81}" srcOrd="0" destOrd="0" presId="urn:microsoft.com/office/officeart/2005/8/layout/vProcess5"/>
    <dgm:cxn modelId="{2880752E-3F69-4ECD-930A-6F70987DFBC2}" type="presParOf" srcId="{39CB8651-324C-498F-9235-D7BB618B4E81}" destId="{DE94C59C-3E58-4451-8C2E-FB749E773B37}" srcOrd="0" destOrd="0" presId="urn:microsoft.com/office/officeart/2005/8/layout/vProcess5"/>
    <dgm:cxn modelId="{77F0830D-8DD1-43BC-AA90-4ABE48F7ED76}" type="presParOf" srcId="{39CB8651-324C-498F-9235-D7BB618B4E81}" destId="{C4A9C614-2739-4E92-8A0A-D29845C0CE58}" srcOrd="1" destOrd="0" presId="urn:microsoft.com/office/officeart/2005/8/layout/vProcess5"/>
    <dgm:cxn modelId="{2F30092A-A216-4212-9E6E-85EF6A94F55C}" type="presParOf" srcId="{39CB8651-324C-498F-9235-D7BB618B4E81}" destId="{0B75B8C3-E512-4059-A077-46CB7F6B3FF0}" srcOrd="2" destOrd="0" presId="urn:microsoft.com/office/officeart/2005/8/layout/vProcess5"/>
    <dgm:cxn modelId="{F5183FED-AEA2-4E4D-8FBE-9B24FBBEDFC5}" type="presParOf" srcId="{39CB8651-324C-498F-9235-D7BB618B4E81}" destId="{5505D204-D185-4728-A069-B57BE09622AC}" srcOrd="3" destOrd="0" presId="urn:microsoft.com/office/officeart/2005/8/layout/vProcess5"/>
    <dgm:cxn modelId="{AF44E66C-5DB4-400B-9BAC-8F21A0FC9AAD}" type="presParOf" srcId="{39CB8651-324C-498F-9235-D7BB618B4E81}" destId="{15B608B2-012C-4687-B812-0572742C0ED8}" srcOrd="4" destOrd="0" presId="urn:microsoft.com/office/officeart/2005/8/layout/vProcess5"/>
    <dgm:cxn modelId="{9C96281F-CF00-4F88-B4CF-44E2FCB35B8E}" type="presParOf" srcId="{39CB8651-324C-498F-9235-D7BB618B4E81}" destId="{00BD2881-89EE-4C0B-8A54-DDAB189BA4AE}" srcOrd="5" destOrd="0" presId="urn:microsoft.com/office/officeart/2005/8/layout/vProcess5"/>
    <dgm:cxn modelId="{9EE4A687-94BA-46B6-A26F-655DCFA2886F}" type="presParOf" srcId="{39CB8651-324C-498F-9235-D7BB618B4E81}" destId="{2FC3CAEB-7280-456C-98BA-3F5CAF9FFCB6}" srcOrd="6" destOrd="0" presId="urn:microsoft.com/office/officeart/2005/8/layout/vProcess5"/>
    <dgm:cxn modelId="{5E76DCB9-E7F9-423B-9CE2-CE885F0871A8}" type="presParOf" srcId="{39CB8651-324C-498F-9235-D7BB618B4E81}" destId="{F26037C3-3AFF-4CA6-AF01-E102CCFF18AF}" srcOrd="7" destOrd="0" presId="urn:microsoft.com/office/officeart/2005/8/layout/vProcess5"/>
    <dgm:cxn modelId="{3200BE1F-9DFB-4445-B639-3F2A58ECE4C2}" type="presParOf" srcId="{39CB8651-324C-498F-9235-D7BB618B4E81}" destId="{292A9C3F-B64B-4CBF-9F88-9954C9373414}" srcOrd="8" destOrd="0" presId="urn:microsoft.com/office/officeart/2005/8/layout/vProcess5"/>
    <dgm:cxn modelId="{5299C023-14C8-4895-859C-D812ADB4C7E3}" type="presParOf" srcId="{39CB8651-324C-498F-9235-D7BB618B4E81}" destId="{3860562C-80DA-4D91-B43C-6A979B7CCBB8}" srcOrd="9" destOrd="0" presId="urn:microsoft.com/office/officeart/2005/8/layout/vProcess5"/>
    <dgm:cxn modelId="{29D253A0-7A9D-46D9-9B0E-A15174838A90}" type="presParOf" srcId="{39CB8651-324C-498F-9235-D7BB618B4E81}" destId="{32D919FF-9C50-40CD-B173-4039B81A6B07}" srcOrd="10" destOrd="0" presId="urn:microsoft.com/office/officeart/2005/8/layout/vProcess5"/>
    <dgm:cxn modelId="{BEBFC2C5-58A7-4CF8-997B-0711C8AFBBFB}" type="presParOf" srcId="{39CB8651-324C-498F-9235-D7BB618B4E81}" destId="{3E537CAF-B04E-42BF-A83A-9B754183646C}" srcOrd="11" destOrd="0" presId="urn:microsoft.com/office/officeart/2005/8/layout/vProcess5"/>
    <dgm:cxn modelId="{2B963D42-FA36-453F-ADBF-9AAC81B7E419}" type="presParOf" srcId="{39CB8651-324C-498F-9235-D7BB618B4E81}" destId="{F3B68A0B-146C-4263-8D5A-470B2EA967FA}" srcOrd="12" destOrd="0" presId="urn:microsoft.com/office/officeart/2005/8/layout/vProcess5"/>
    <dgm:cxn modelId="{DB4CF6FA-8A06-447F-B846-5ABD9C5EEF28}" type="presParOf" srcId="{39CB8651-324C-498F-9235-D7BB618B4E81}" destId="{F4DAB366-88FF-4DA1-89B4-045BB8C741F0}" srcOrd="13" destOrd="0" presId="urn:microsoft.com/office/officeart/2005/8/layout/vProcess5"/>
    <dgm:cxn modelId="{321F8172-587B-4D60-829A-40BB3ABBB0F5}" type="presParOf" srcId="{39CB8651-324C-498F-9235-D7BB618B4E81}" destId="{702EE352-1417-4BBE-BFAD-C5074264735D}" srcOrd="14" destOrd="0" presId="urn:microsoft.com/office/officeart/2005/8/layout/vProcess5"/>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D5D87BB-17A0-4EFF-99F1-2CD61734D78A}" type="doc">
      <dgm:prSet loTypeId="urn:microsoft.com/office/officeart/2008/layout/LinedList" loCatId="list" qsTypeId="urn:microsoft.com/office/officeart/2005/8/quickstyle/simple1" qsCatId="simple" csTypeId="urn:microsoft.com/office/officeart/2005/8/colors/accent1_2" csCatId="accent1" phldr="1"/>
      <dgm:spPr/>
      <dgm:t>
        <a:bodyPr/>
        <a:lstStyle/>
        <a:p>
          <a:endParaRPr lang="en-ID"/>
        </a:p>
      </dgm:t>
    </dgm:pt>
    <dgm:pt modelId="{E5BAA4A8-E579-4DD7-92BB-A9824594ADCF}">
      <dgm:prSet phldrT="[Text]" custT="1"/>
      <dgm:spPr/>
      <dgm:t>
        <a:bodyPr/>
        <a:lstStyle/>
        <a:p>
          <a:pPr algn="just"/>
          <a:r>
            <a:rPr lang="en-ID" sz="1200">
              <a:latin typeface="Times New Roman" panose="02020603050405020304" pitchFamily="18" charset="0"/>
              <a:cs typeface="Times New Roman" panose="02020603050405020304" pitchFamily="18" charset="0"/>
            </a:rPr>
            <a:t>Target Luaran:</a:t>
          </a:r>
        </a:p>
      </dgm:t>
    </dgm:pt>
    <dgm:pt modelId="{000733CE-0666-43E4-BF0D-42E7AE0A2239}" type="parTrans" cxnId="{F1D43F88-B5AE-430F-ADE2-28616B9E3687}">
      <dgm:prSet/>
      <dgm:spPr/>
      <dgm:t>
        <a:bodyPr/>
        <a:lstStyle/>
        <a:p>
          <a:pPr algn="just"/>
          <a:endParaRPr lang="en-ID" sz="1200">
            <a:latin typeface="Times New Roman" panose="02020603050405020304" pitchFamily="18" charset="0"/>
            <a:cs typeface="Times New Roman" panose="02020603050405020304" pitchFamily="18" charset="0"/>
          </a:endParaRPr>
        </a:p>
      </dgm:t>
    </dgm:pt>
    <dgm:pt modelId="{64059EFE-B878-43B6-BAFA-D030ACB57B20}" type="sibTrans" cxnId="{F1D43F88-B5AE-430F-ADE2-28616B9E3687}">
      <dgm:prSet/>
      <dgm:spPr/>
      <dgm:t>
        <a:bodyPr/>
        <a:lstStyle/>
        <a:p>
          <a:pPr algn="just"/>
          <a:endParaRPr lang="en-ID" sz="1200">
            <a:latin typeface="Times New Roman" panose="02020603050405020304" pitchFamily="18" charset="0"/>
            <a:cs typeface="Times New Roman" panose="02020603050405020304" pitchFamily="18" charset="0"/>
          </a:endParaRPr>
        </a:p>
      </dgm:t>
    </dgm:pt>
    <dgm:pt modelId="{715FD6AE-6E24-4A72-AEEF-B76FDCAD8BAF}">
      <dgm:prSet phldrT="[Text]" custT="1"/>
      <dgm:spPr/>
      <dgm:t>
        <a:bodyPr/>
        <a:lstStyle/>
        <a:p>
          <a:pPr algn="just">
            <a:buNone/>
          </a:pPr>
          <a:r>
            <a:rPr lang="en-ID" sz="1200">
              <a:latin typeface="Times New Roman" panose="02020603050405020304" pitchFamily="18" charset="0"/>
              <a:cs typeface="Times New Roman" panose="02020603050405020304" pitchFamily="18" charset="0"/>
            </a:rPr>
            <a:t>1) Publikasi jurnal nasional/internasional bereputasi (Sinta 3/4)</a:t>
          </a:r>
        </a:p>
      </dgm:t>
    </dgm:pt>
    <dgm:pt modelId="{4F8523FF-5712-4A37-B9C8-9755B32CB4F0}" type="parTrans" cxnId="{DF5BDF05-30D4-44CB-A32A-880C37AFDA8C}">
      <dgm:prSet/>
      <dgm:spPr/>
      <dgm:t>
        <a:bodyPr/>
        <a:lstStyle/>
        <a:p>
          <a:pPr algn="just"/>
          <a:endParaRPr lang="en-ID" sz="1200">
            <a:latin typeface="Times New Roman" panose="02020603050405020304" pitchFamily="18" charset="0"/>
            <a:cs typeface="Times New Roman" panose="02020603050405020304" pitchFamily="18" charset="0"/>
          </a:endParaRPr>
        </a:p>
      </dgm:t>
    </dgm:pt>
    <dgm:pt modelId="{9281F698-CACF-4D0D-9E76-C2A2EBB0E703}" type="sibTrans" cxnId="{DF5BDF05-30D4-44CB-A32A-880C37AFDA8C}">
      <dgm:prSet/>
      <dgm:spPr/>
      <dgm:t>
        <a:bodyPr/>
        <a:lstStyle/>
        <a:p>
          <a:pPr algn="just"/>
          <a:endParaRPr lang="en-ID" sz="1200">
            <a:latin typeface="Times New Roman" panose="02020603050405020304" pitchFamily="18" charset="0"/>
            <a:cs typeface="Times New Roman" panose="02020603050405020304" pitchFamily="18" charset="0"/>
          </a:endParaRPr>
        </a:p>
      </dgm:t>
    </dgm:pt>
    <dgm:pt modelId="{AA168A82-2D25-495E-BB41-4876E14C5592}">
      <dgm:prSet phldrT="[Text]" custT="1"/>
      <dgm:spPr/>
      <dgm:t>
        <a:bodyPr/>
        <a:lstStyle/>
        <a:p>
          <a:pPr algn="just">
            <a:buNone/>
          </a:pPr>
          <a:r>
            <a:rPr lang="en-ID" sz="1200">
              <a:latin typeface="Times New Roman" panose="02020603050405020304" pitchFamily="18" charset="0"/>
              <a:cs typeface="Times New Roman" panose="02020603050405020304" pitchFamily="18" charset="0"/>
            </a:rPr>
            <a:t>2) Hak Kekayaan Intelektual (HKI) atas ringkasan model penelitian</a:t>
          </a:r>
        </a:p>
      </dgm:t>
    </dgm:pt>
    <dgm:pt modelId="{306403F9-5520-44DD-B759-E0A92DD5B2FD}" type="parTrans" cxnId="{B599D767-A6B0-4ED6-A24D-7D1CC637CC58}">
      <dgm:prSet/>
      <dgm:spPr/>
      <dgm:t>
        <a:bodyPr/>
        <a:lstStyle/>
        <a:p>
          <a:pPr algn="just"/>
          <a:endParaRPr lang="en-ID" sz="1200">
            <a:latin typeface="Times New Roman" panose="02020603050405020304" pitchFamily="18" charset="0"/>
            <a:cs typeface="Times New Roman" panose="02020603050405020304" pitchFamily="18" charset="0"/>
          </a:endParaRPr>
        </a:p>
      </dgm:t>
    </dgm:pt>
    <dgm:pt modelId="{0D7EAE2F-6DDB-4341-999B-94A61E219D7C}" type="sibTrans" cxnId="{B599D767-A6B0-4ED6-A24D-7D1CC637CC58}">
      <dgm:prSet/>
      <dgm:spPr/>
      <dgm:t>
        <a:bodyPr/>
        <a:lstStyle/>
        <a:p>
          <a:pPr algn="just"/>
          <a:endParaRPr lang="en-ID" sz="1200">
            <a:latin typeface="Times New Roman" panose="02020603050405020304" pitchFamily="18" charset="0"/>
            <a:cs typeface="Times New Roman" panose="02020603050405020304" pitchFamily="18" charset="0"/>
          </a:endParaRPr>
        </a:p>
      </dgm:t>
    </dgm:pt>
    <dgm:pt modelId="{6B2DA307-AADC-4A58-A10F-139E8C9A9790}">
      <dgm:prSet phldrT="[Text]" custT="1"/>
      <dgm:spPr/>
      <dgm:t>
        <a:bodyPr/>
        <a:lstStyle/>
        <a:p>
          <a:pPr algn="just">
            <a:buNone/>
          </a:pPr>
          <a:r>
            <a:rPr lang="en-ID" sz="1200">
              <a:latin typeface="Times New Roman" panose="02020603050405020304" pitchFamily="18" charset="0"/>
              <a:cs typeface="Times New Roman" panose="02020603050405020304" pitchFamily="18" charset="0"/>
            </a:rPr>
            <a:t>3) Usulan/rekomendasi bagi pelaku ekonomi dan regulator yang meningkatkan efektivitas dan efisiensi kegiatan ekonomi digital syariah</a:t>
          </a:r>
        </a:p>
      </dgm:t>
    </dgm:pt>
    <dgm:pt modelId="{D096826A-8352-430D-A8B0-72F88E6946C7}" type="parTrans" cxnId="{C2612AB5-52D4-48F7-A6B6-127466763FB6}">
      <dgm:prSet/>
      <dgm:spPr/>
      <dgm:t>
        <a:bodyPr/>
        <a:lstStyle/>
        <a:p>
          <a:pPr algn="just"/>
          <a:endParaRPr lang="en-ID" sz="1200">
            <a:latin typeface="Times New Roman" panose="02020603050405020304" pitchFamily="18" charset="0"/>
            <a:cs typeface="Times New Roman" panose="02020603050405020304" pitchFamily="18" charset="0"/>
          </a:endParaRPr>
        </a:p>
      </dgm:t>
    </dgm:pt>
    <dgm:pt modelId="{64E50CA4-3ABD-4EEF-B1BB-301B3C111586}" type="sibTrans" cxnId="{C2612AB5-52D4-48F7-A6B6-127466763FB6}">
      <dgm:prSet/>
      <dgm:spPr/>
      <dgm:t>
        <a:bodyPr/>
        <a:lstStyle/>
        <a:p>
          <a:pPr algn="just"/>
          <a:endParaRPr lang="en-ID" sz="1200">
            <a:latin typeface="Times New Roman" panose="02020603050405020304" pitchFamily="18" charset="0"/>
            <a:cs typeface="Times New Roman" panose="02020603050405020304" pitchFamily="18" charset="0"/>
          </a:endParaRPr>
        </a:p>
      </dgm:t>
    </dgm:pt>
    <dgm:pt modelId="{F21F24A8-0F8B-4B91-AC36-1DF6E1B77640}" type="pres">
      <dgm:prSet presAssocID="{5D5D87BB-17A0-4EFF-99F1-2CD61734D78A}" presName="vert0" presStyleCnt="0">
        <dgm:presLayoutVars>
          <dgm:dir/>
          <dgm:animOne val="branch"/>
          <dgm:animLvl val="lvl"/>
        </dgm:presLayoutVars>
      </dgm:prSet>
      <dgm:spPr/>
      <dgm:t>
        <a:bodyPr/>
        <a:lstStyle/>
        <a:p>
          <a:endParaRPr lang="en-US"/>
        </a:p>
      </dgm:t>
    </dgm:pt>
    <dgm:pt modelId="{72680F48-81AE-42D8-9E7D-3AFA5E21BE2A}" type="pres">
      <dgm:prSet presAssocID="{E5BAA4A8-E579-4DD7-92BB-A9824594ADCF}" presName="thickLine" presStyleLbl="alignNode1" presStyleIdx="0" presStyleCnt="1"/>
      <dgm:spPr/>
    </dgm:pt>
    <dgm:pt modelId="{854BAD86-36E4-4724-A9DC-78C6733FFB93}" type="pres">
      <dgm:prSet presAssocID="{E5BAA4A8-E579-4DD7-92BB-A9824594ADCF}" presName="horz1" presStyleCnt="0"/>
      <dgm:spPr/>
    </dgm:pt>
    <dgm:pt modelId="{A8A5414F-66FF-44F5-B7AE-19F4B8C47291}" type="pres">
      <dgm:prSet presAssocID="{E5BAA4A8-E579-4DD7-92BB-A9824594ADCF}" presName="tx1" presStyleLbl="revTx" presStyleIdx="0" presStyleCnt="4"/>
      <dgm:spPr/>
      <dgm:t>
        <a:bodyPr/>
        <a:lstStyle/>
        <a:p>
          <a:endParaRPr lang="en-US"/>
        </a:p>
      </dgm:t>
    </dgm:pt>
    <dgm:pt modelId="{436D41A4-A0C3-4240-9AD8-B933403EFB33}" type="pres">
      <dgm:prSet presAssocID="{E5BAA4A8-E579-4DD7-92BB-A9824594ADCF}" presName="vert1" presStyleCnt="0"/>
      <dgm:spPr/>
    </dgm:pt>
    <dgm:pt modelId="{4A2A9071-DFF0-4D3A-9E24-B0F2DD2AA834}" type="pres">
      <dgm:prSet presAssocID="{715FD6AE-6E24-4A72-AEEF-B76FDCAD8BAF}" presName="vertSpace2a" presStyleCnt="0"/>
      <dgm:spPr/>
    </dgm:pt>
    <dgm:pt modelId="{81181A3C-E885-4DB1-9EB9-2B423693EA2D}" type="pres">
      <dgm:prSet presAssocID="{715FD6AE-6E24-4A72-AEEF-B76FDCAD8BAF}" presName="horz2" presStyleCnt="0"/>
      <dgm:spPr/>
    </dgm:pt>
    <dgm:pt modelId="{09B26237-6C8C-45F2-A2AB-4DDDA49B2780}" type="pres">
      <dgm:prSet presAssocID="{715FD6AE-6E24-4A72-AEEF-B76FDCAD8BAF}" presName="horzSpace2" presStyleCnt="0"/>
      <dgm:spPr/>
    </dgm:pt>
    <dgm:pt modelId="{60011CE8-3098-41F3-8C96-0184DF9182A0}" type="pres">
      <dgm:prSet presAssocID="{715FD6AE-6E24-4A72-AEEF-B76FDCAD8BAF}" presName="tx2" presStyleLbl="revTx" presStyleIdx="1" presStyleCnt="4"/>
      <dgm:spPr/>
      <dgm:t>
        <a:bodyPr/>
        <a:lstStyle/>
        <a:p>
          <a:endParaRPr lang="en-US"/>
        </a:p>
      </dgm:t>
    </dgm:pt>
    <dgm:pt modelId="{A93C1530-376F-470B-824D-1F261D3C71E8}" type="pres">
      <dgm:prSet presAssocID="{715FD6AE-6E24-4A72-AEEF-B76FDCAD8BAF}" presName="vert2" presStyleCnt="0"/>
      <dgm:spPr/>
    </dgm:pt>
    <dgm:pt modelId="{F4540174-433C-431C-9E51-FAED83C3DD1C}" type="pres">
      <dgm:prSet presAssocID="{715FD6AE-6E24-4A72-AEEF-B76FDCAD8BAF}" presName="thinLine2b" presStyleLbl="callout" presStyleIdx="0" presStyleCnt="3"/>
      <dgm:spPr/>
    </dgm:pt>
    <dgm:pt modelId="{2B116B8A-90F3-463D-898D-DB83B4885588}" type="pres">
      <dgm:prSet presAssocID="{715FD6AE-6E24-4A72-AEEF-B76FDCAD8BAF}" presName="vertSpace2b" presStyleCnt="0"/>
      <dgm:spPr/>
    </dgm:pt>
    <dgm:pt modelId="{0D3B574C-62D0-465C-8E26-E9CEC2C14FDC}" type="pres">
      <dgm:prSet presAssocID="{AA168A82-2D25-495E-BB41-4876E14C5592}" presName="horz2" presStyleCnt="0"/>
      <dgm:spPr/>
    </dgm:pt>
    <dgm:pt modelId="{3E2464B4-6DA3-42CA-B664-9E3A5DB3813D}" type="pres">
      <dgm:prSet presAssocID="{AA168A82-2D25-495E-BB41-4876E14C5592}" presName="horzSpace2" presStyleCnt="0"/>
      <dgm:spPr/>
    </dgm:pt>
    <dgm:pt modelId="{3DD6660B-5DF5-440A-A8C1-13ED9C3A9F10}" type="pres">
      <dgm:prSet presAssocID="{AA168A82-2D25-495E-BB41-4876E14C5592}" presName="tx2" presStyleLbl="revTx" presStyleIdx="2" presStyleCnt="4"/>
      <dgm:spPr/>
      <dgm:t>
        <a:bodyPr/>
        <a:lstStyle/>
        <a:p>
          <a:endParaRPr lang="en-US"/>
        </a:p>
      </dgm:t>
    </dgm:pt>
    <dgm:pt modelId="{39BD1171-FB27-4361-BE28-5E632CD4950F}" type="pres">
      <dgm:prSet presAssocID="{AA168A82-2D25-495E-BB41-4876E14C5592}" presName="vert2" presStyleCnt="0"/>
      <dgm:spPr/>
    </dgm:pt>
    <dgm:pt modelId="{9157E347-AD68-4872-BEE7-256275FF6700}" type="pres">
      <dgm:prSet presAssocID="{AA168A82-2D25-495E-BB41-4876E14C5592}" presName="thinLine2b" presStyleLbl="callout" presStyleIdx="1" presStyleCnt="3"/>
      <dgm:spPr/>
    </dgm:pt>
    <dgm:pt modelId="{4B5E0BB0-419A-4536-810C-C0D5ABF33D78}" type="pres">
      <dgm:prSet presAssocID="{AA168A82-2D25-495E-BB41-4876E14C5592}" presName="vertSpace2b" presStyleCnt="0"/>
      <dgm:spPr/>
    </dgm:pt>
    <dgm:pt modelId="{03F9B0CF-2327-4B1B-9AFD-E9909A540C69}" type="pres">
      <dgm:prSet presAssocID="{6B2DA307-AADC-4A58-A10F-139E8C9A9790}" presName="horz2" presStyleCnt="0"/>
      <dgm:spPr/>
    </dgm:pt>
    <dgm:pt modelId="{75A8869A-AD00-4764-AEB8-8A3DE91F361C}" type="pres">
      <dgm:prSet presAssocID="{6B2DA307-AADC-4A58-A10F-139E8C9A9790}" presName="horzSpace2" presStyleCnt="0"/>
      <dgm:spPr/>
    </dgm:pt>
    <dgm:pt modelId="{4214A2B5-DB9C-420D-B28F-DDAE3955CC0D}" type="pres">
      <dgm:prSet presAssocID="{6B2DA307-AADC-4A58-A10F-139E8C9A9790}" presName="tx2" presStyleLbl="revTx" presStyleIdx="3" presStyleCnt="4" custScaleY="116110"/>
      <dgm:spPr/>
      <dgm:t>
        <a:bodyPr/>
        <a:lstStyle/>
        <a:p>
          <a:endParaRPr lang="en-US"/>
        </a:p>
      </dgm:t>
    </dgm:pt>
    <dgm:pt modelId="{D98F71D7-7AF9-49AD-8D77-35427D8B303B}" type="pres">
      <dgm:prSet presAssocID="{6B2DA307-AADC-4A58-A10F-139E8C9A9790}" presName="vert2" presStyleCnt="0"/>
      <dgm:spPr/>
    </dgm:pt>
    <dgm:pt modelId="{074CDE3F-A5E4-4EC5-9C1F-CFFCD253B579}" type="pres">
      <dgm:prSet presAssocID="{6B2DA307-AADC-4A58-A10F-139E8C9A9790}" presName="thinLine2b" presStyleLbl="callout" presStyleIdx="2" presStyleCnt="3"/>
      <dgm:spPr/>
    </dgm:pt>
    <dgm:pt modelId="{7AE75597-6DF0-4B90-89FA-3BACD4DAB852}" type="pres">
      <dgm:prSet presAssocID="{6B2DA307-AADC-4A58-A10F-139E8C9A9790}" presName="vertSpace2b" presStyleCnt="0"/>
      <dgm:spPr/>
    </dgm:pt>
  </dgm:ptLst>
  <dgm:cxnLst>
    <dgm:cxn modelId="{F1D43F88-B5AE-430F-ADE2-28616B9E3687}" srcId="{5D5D87BB-17A0-4EFF-99F1-2CD61734D78A}" destId="{E5BAA4A8-E579-4DD7-92BB-A9824594ADCF}" srcOrd="0" destOrd="0" parTransId="{000733CE-0666-43E4-BF0D-42E7AE0A2239}" sibTransId="{64059EFE-B878-43B6-BAFA-D030ACB57B20}"/>
    <dgm:cxn modelId="{C2612AB5-52D4-48F7-A6B6-127466763FB6}" srcId="{E5BAA4A8-E579-4DD7-92BB-A9824594ADCF}" destId="{6B2DA307-AADC-4A58-A10F-139E8C9A9790}" srcOrd="2" destOrd="0" parTransId="{D096826A-8352-430D-A8B0-72F88E6946C7}" sibTransId="{64E50CA4-3ABD-4EEF-B1BB-301B3C111586}"/>
    <dgm:cxn modelId="{205C2FD4-2306-4740-BED1-AB2233E269D3}" type="presOf" srcId="{AA168A82-2D25-495E-BB41-4876E14C5592}" destId="{3DD6660B-5DF5-440A-A8C1-13ED9C3A9F10}" srcOrd="0" destOrd="0" presId="urn:microsoft.com/office/officeart/2008/layout/LinedList"/>
    <dgm:cxn modelId="{C9A095A3-312B-4940-B2B6-FA363835CD78}" type="presOf" srcId="{5D5D87BB-17A0-4EFF-99F1-2CD61734D78A}" destId="{F21F24A8-0F8B-4B91-AC36-1DF6E1B77640}" srcOrd="0" destOrd="0" presId="urn:microsoft.com/office/officeart/2008/layout/LinedList"/>
    <dgm:cxn modelId="{9639A928-D16F-42C9-A501-75196B616CFF}" type="presOf" srcId="{715FD6AE-6E24-4A72-AEEF-B76FDCAD8BAF}" destId="{60011CE8-3098-41F3-8C96-0184DF9182A0}" srcOrd="0" destOrd="0" presId="urn:microsoft.com/office/officeart/2008/layout/LinedList"/>
    <dgm:cxn modelId="{EDEB27F6-906F-44E8-ABA6-DCA61E94B270}" type="presOf" srcId="{6B2DA307-AADC-4A58-A10F-139E8C9A9790}" destId="{4214A2B5-DB9C-420D-B28F-DDAE3955CC0D}" srcOrd="0" destOrd="0" presId="urn:microsoft.com/office/officeart/2008/layout/LinedList"/>
    <dgm:cxn modelId="{DF5BDF05-30D4-44CB-A32A-880C37AFDA8C}" srcId="{E5BAA4A8-E579-4DD7-92BB-A9824594ADCF}" destId="{715FD6AE-6E24-4A72-AEEF-B76FDCAD8BAF}" srcOrd="0" destOrd="0" parTransId="{4F8523FF-5712-4A37-B9C8-9755B32CB4F0}" sibTransId="{9281F698-CACF-4D0D-9E76-C2A2EBB0E703}"/>
    <dgm:cxn modelId="{0B474696-D5DC-4DDB-81F5-D0757CA265BB}" type="presOf" srcId="{E5BAA4A8-E579-4DD7-92BB-A9824594ADCF}" destId="{A8A5414F-66FF-44F5-B7AE-19F4B8C47291}" srcOrd="0" destOrd="0" presId="urn:microsoft.com/office/officeart/2008/layout/LinedList"/>
    <dgm:cxn modelId="{B599D767-A6B0-4ED6-A24D-7D1CC637CC58}" srcId="{E5BAA4A8-E579-4DD7-92BB-A9824594ADCF}" destId="{AA168A82-2D25-495E-BB41-4876E14C5592}" srcOrd="1" destOrd="0" parTransId="{306403F9-5520-44DD-B759-E0A92DD5B2FD}" sibTransId="{0D7EAE2F-6DDB-4341-999B-94A61E219D7C}"/>
    <dgm:cxn modelId="{8F3C96B0-9024-46EC-9666-F6333AC45CA6}" type="presParOf" srcId="{F21F24A8-0F8B-4B91-AC36-1DF6E1B77640}" destId="{72680F48-81AE-42D8-9E7D-3AFA5E21BE2A}" srcOrd="0" destOrd="0" presId="urn:microsoft.com/office/officeart/2008/layout/LinedList"/>
    <dgm:cxn modelId="{D3A5A4BB-687B-4AFB-AF60-BE420A5593DE}" type="presParOf" srcId="{F21F24A8-0F8B-4B91-AC36-1DF6E1B77640}" destId="{854BAD86-36E4-4724-A9DC-78C6733FFB93}" srcOrd="1" destOrd="0" presId="urn:microsoft.com/office/officeart/2008/layout/LinedList"/>
    <dgm:cxn modelId="{A7B7841C-2985-4228-9CE1-6520CA0D726C}" type="presParOf" srcId="{854BAD86-36E4-4724-A9DC-78C6733FFB93}" destId="{A8A5414F-66FF-44F5-B7AE-19F4B8C47291}" srcOrd="0" destOrd="0" presId="urn:microsoft.com/office/officeart/2008/layout/LinedList"/>
    <dgm:cxn modelId="{F0F4FAC6-14A9-4142-B095-51AD1A625CF2}" type="presParOf" srcId="{854BAD86-36E4-4724-A9DC-78C6733FFB93}" destId="{436D41A4-A0C3-4240-9AD8-B933403EFB33}" srcOrd="1" destOrd="0" presId="urn:microsoft.com/office/officeart/2008/layout/LinedList"/>
    <dgm:cxn modelId="{A73025AA-19C9-4FC7-B8DC-A0AE99CED4B0}" type="presParOf" srcId="{436D41A4-A0C3-4240-9AD8-B933403EFB33}" destId="{4A2A9071-DFF0-4D3A-9E24-B0F2DD2AA834}" srcOrd="0" destOrd="0" presId="urn:microsoft.com/office/officeart/2008/layout/LinedList"/>
    <dgm:cxn modelId="{6AEAFCBF-D5C9-47A1-A629-4D172DBDF109}" type="presParOf" srcId="{436D41A4-A0C3-4240-9AD8-B933403EFB33}" destId="{81181A3C-E885-4DB1-9EB9-2B423693EA2D}" srcOrd="1" destOrd="0" presId="urn:microsoft.com/office/officeart/2008/layout/LinedList"/>
    <dgm:cxn modelId="{55E5543C-DBE2-45D6-B29F-E7A99F8E3035}" type="presParOf" srcId="{81181A3C-E885-4DB1-9EB9-2B423693EA2D}" destId="{09B26237-6C8C-45F2-A2AB-4DDDA49B2780}" srcOrd="0" destOrd="0" presId="urn:microsoft.com/office/officeart/2008/layout/LinedList"/>
    <dgm:cxn modelId="{9E3411B5-0ADE-4418-A567-64EFE8C0FE0C}" type="presParOf" srcId="{81181A3C-E885-4DB1-9EB9-2B423693EA2D}" destId="{60011CE8-3098-41F3-8C96-0184DF9182A0}" srcOrd="1" destOrd="0" presId="urn:microsoft.com/office/officeart/2008/layout/LinedList"/>
    <dgm:cxn modelId="{C91EBA40-76B4-4437-A157-A9D189A42E69}" type="presParOf" srcId="{81181A3C-E885-4DB1-9EB9-2B423693EA2D}" destId="{A93C1530-376F-470B-824D-1F261D3C71E8}" srcOrd="2" destOrd="0" presId="urn:microsoft.com/office/officeart/2008/layout/LinedList"/>
    <dgm:cxn modelId="{20F8E140-037B-448B-9723-110E85DF6CB5}" type="presParOf" srcId="{436D41A4-A0C3-4240-9AD8-B933403EFB33}" destId="{F4540174-433C-431C-9E51-FAED83C3DD1C}" srcOrd="2" destOrd="0" presId="urn:microsoft.com/office/officeart/2008/layout/LinedList"/>
    <dgm:cxn modelId="{2227E6E8-9B59-4779-B39B-BB5E3053092A}" type="presParOf" srcId="{436D41A4-A0C3-4240-9AD8-B933403EFB33}" destId="{2B116B8A-90F3-463D-898D-DB83B4885588}" srcOrd="3" destOrd="0" presId="urn:microsoft.com/office/officeart/2008/layout/LinedList"/>
    <dgm:cxn modelId="{63DFC865-0D4F-46DB-BEF2-9D9DF709BC45}" type="presParOf" srcId="{436D41A4-A0C3-4240-9AD8-B933403EFB33}" destId="{0D3B574C-62D0-465C-8E26-E9CEC2C14FDC}" srcOrd="4" destOrd="0" presId="urn:microsoft.com/office/officeart/2008/layout/LinedList"/>
    <dgm:cxn modelId="{EFBDDA8C-56C8-4F83-B53F-2EEB1D79E361}" type="presParOf" srcId="{0D3B574C-62D0-465C-8E26-E9CEC2C14FDC}" destId="{3E2464B4-6DA3-42CA-B664-9E3A5DB3813D}" srcOrd="0" destOrd="0" presId="urn:microsoft.com/office/officeart/2008/layout/LinedList"/>
    <dgm:cxn modelId="{07139116-7D1A-4239-B5DF-F18E1843EF44}" type="presParOf" srcId="{0D3B574C-62D0-465C-8E26-E9CEC2C14FDC}" destId="{3DD6660B-5DF5-440A-A8C1-13ED9C3A9F10}" srcOrd="1" destOrd="0" presId="urn:microsoft.com/office/officeart/2008/layout/LinedList"/>
    <dgm:cxn modelId="{E9A4FDF1-C8A5-4808-A87D-A94008B4F2FA}" type="presParOf" srcId="{0D3B574C-62D0-465C-8E26-E9CEC2C14FDC}" destId="{39BD1171-FB27-4361-BE28-5E632CD4950F}" srcOrd="2" destOrd="0" presId="urn:microsoft.com/office/officeart/2008/layout/LinedList"/>
    <dgm:cxn modelId="{2A9ABA20-5BB9-4E87-B1BB-9485AECFAD2D}" type="presParOf" srcId="{436D41A4-A0C3-4240-9AD8-B933403EFB33}" destId="{9157E347-AD68-4872-BEE7-256275FF6700}" srcOrd="5" destOrd="0" presId="urn:microsoft.com/office/officeart/2008/layout/LinedList"/>
    <dgm:cxn modelId="{8C7B4E19-C687-4EA9-814C-CBF8C8AA8E49}" type="presParOf" srcId="{436D41A4-A0C3-4240-9AD8-B933403EFB33}" destId="{4B5E0BB0-419A-4536-810C-C0D5ABF33D78}" srcOrd="6" destOrd="0" presId="urn:microsoft.com/office/officeart/2008/layout/LinedList"/>
    <dgm:cxn modelId="{C0C77F37-5197-46BF-B88D-1211A711A323}" type="presParOf" srcId="{436D41A4-A0C3-4240-9AD8-B933403EFB33}" destId="{03F9B0CF-2327-4B1B-9AFD-E9909A540C69}" srcOrd="7" destOrd="0" presId="urn:microsoft.com/office/officeart/2008/layout/LinedList"/>
    <dgm:cxn modelId="{6CE2A1C3-4039-4C01-AC0F-4101EB3B8886}" type="presParOf" srcId="{03F9B0CF-2327-4B1B-9AFD-E9909A540C69}" destId="{75A8869A-AD00-4764-AEB8-8A3DE91F361C}" srcOrd="0" destOrd="0" presId="urn:microsoft.com/office/officeart/2008/layout/LinedList"/>
    <dgm:cxn modelId="{29F69BCC-D771-40E6-ABF9-11F7B7486E6A}" type="presParOf" srcId="{03F9B0CF-2327-4B1B-9AFD-E9909A540C69}" destId="{4214A2B5-DB9C-420D-B28F-DDAE3955CC0D}" srcOrd="1" destOrd="0" presId="urn:microsoft.com/office/officeart/2008/layout/LinedList"/>
    <dgm:cxn modelId="{2B069D0C-0C8D-489A-A361-093F7CBA01AB}" type="presParOf" srcId="{03F9B0CF-2327-4B1B-9AFD-E9909A540C69}" destId="{D98F71D7-7AF9-49AD-8D77-35427D8B303B}" srcOrd="2" destOrd="0" presId="urn:microsoft.com/office/officeart/2008/layout/LinedList"/>
    <dgm:cxn modelId="{DF8AC56F-164D-4C6A-B724-B008623E9DC5}" type="presParOf" srcId="{436D41A4-A0C3-4240-9AD8-B933403EFB33}" destId="{074CDE3F-A5E4-4EC5-9C1F-CFFCD253B579}" srcOrd="8" destOrd="0" presId="urn:microsoft.com/office/officeart/2008/layout/LinedList"/>
    <dgm:cxn modelId="{9DB468C2-1D13-4A47-AEDC-3877066C5D35}" type="presParOf" srcId="{436D41A4-A0C3-4240-9AD8-B933403EFB33}" destId="{7AE75597-6DF0-4B90-89FA-3BACD4DAB852}" srcOrd="9" destOrd="0" presId="urn:microsoft.com/office/officeart/2008/layout/LinedList"/>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A9C614-2739-4E92-8A0A-D29845C0CE58}">
      <dsp:nvSpPr>
        <dsp:cNvPr id="0" name=""/>
        <dsp:cNvSpPr/>
      </dsp:nvSpPr>
      <dsp:spPr>
        <a:xfrm>
          <a:off x="0" y="0"/>
          <a:ext cx="4224528" cy="576072"/>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l" defTabSz="400050">
            <a:lnSpc>
              <a:spcPct val="90000"/>
            </a:lnSpc>
            <a:spcBef>
              <a:spcPct val="0"/>
            </a:spcBef>
            <a:spcAft>
              <a:spcPct val="35000"/>
            </a:spcAft>
            <a:buNone/>
          </a:pPr>
          <a:r>
            <a:rPr lang="en-ID" sz="900" b="1" kern="1200"/>
            <a:t>2025 (Fokus Saat Ini):</a:t>
          </a:r>
          <a:r>
            <a:rPr lang="en-ID" sz="900" kern="1200"/>
            <a:t> Analisis determinan jumlah partisipasi pemodal dengan faktor ROI, Tenor, Nilai Pendanaan, dan moderasi makroekonomi (BI-Rate) menggunakan pendekatan PLS-SEM pada platform shafiq.id</a:t>
          </a:r>
        </a:p>
      </dsp:txBody>
      <dsp:txXfrm>
        <a:off x="16873" y="16873"/>
        <a:ext cx="3535500" cy="542326"/>
      </dsp:txXfrm>
    </dsp:sp>
    <dsp:sp modelId="{0B75B8C3-E512-4059-A077-46CB7F6B3FF0}">
      <dsp:nvSpPr>
        <dsp:cNvPr id="0" name=""/>
        <dsp:cNvSpPr/>
      </dsp:nvSpPr>
      <dsp:spPr>
        <a:xfrm>
          <a:off x="315468" y="656082"/>
          <a:ext cx="4224528" cy="576072"/>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l" defTabSz="400050">
            <a:lnSpc>
              <a:spcPct val="90000"/>
            </a:lnSpc>
            <a:spcBef>
              <a:spcPct val="0"/>
            </a:spcBef>
            <a:spcAft>
              <a:spcPct val="35000"/>
            </a:spcAft>
            <a:buClr>
              <a:srgbClr val="000000"/>
            </a:buClr>
            <a:buSzPts val="1100"/>
            <a:buFont typeface="Arial" panose="020B0604020202020204" pitchFamily="34" charset="0"/>
            <a:buChar char="●"/>
          </a:pPr>
          <a:r>
            <a:rPr lang="en-ID" sz="900" b="1" u="none" kern="1200"/>
            <a:t>2026:</a:t>
          </a:r>
          <a:r>
            <a:rPr lang="en-ID" sz="900" u="none" kern="1200"/>
            <a:t> Komparasi komprehensif perilaku pemodal pada seluruh platform </a:t>
          </a:r>
          <a:r>
            <a:rPr lang="en-ID" sz="900" i="1" u="none" kern="1200"/>
            <a:t>Securities Crowdfunding</a:t>
          </a:r>
          <a:r>
            <a:rPr lang="en-ID" sz="900" u="none" kern="1200"/>
            <a:t> Syariah dan Konvensional di Indonesia terhadap </a:t>
          </a:r>
          <a:r>
            <a:rPr lang="en-ID" sz="900" i="1" u="none" kern="1200"/>
            <a:t>shock</a:t>
          </a:r>
          <a:r>
            <a:rPr lang="en-ID" sz="900" u="none" kern="1200"/>
            <a:t> indikator makroekonomi.</a:t>
          </a:r>
          <a:endParaRPr lang="en-ID" sz="900" kern="1200"/>
        </a:p>
      </dsp:txBody>
      <dsp:txXfrm>
        <a:off x="332341" y="672955"/>
        <a:ext cx="3500867" cy="542326"/>
      </dsp:txXfrm>
    </dsp:sp>
    <dsp:sp modelId="{5505D204-D185-4728-A069-B57BE09622AC}">
      <dsp:nvSpPr>
        <dsp:cNvPr id="0" name=""/>
        <dsp:cNvSpPr/>
      </dsp:nvSpPr>
      <dsp:spPr>
        <a:xfrm>
          <a:off x="630935" y="1312164"/>
          <a:ext cx="4224528" cy="576072"/>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l" defTabSz="400050">
            <a:lnSpc>
              <a:spcPct val="90000"/>
            </a:lnSpc>
            <a:spcBef>
              <a:spcPct val="0"/>
            </a:spcBef>
            <a:spcAft>
              <a:spcPct val="35000"/>
            </a:spcAft>
            <a:buClr>
              <a:srgbClr val="000000"/>
            </a:buClr>
            <a:buSzPts val="1100"/>
            <a:buFont typeface="Arial" panose="020B0604020202020204" pitchFamily="34" charset="0"/>
            <a:buChar char="●"/>
          </a:pPr>
          <a:r>
            <a:rPr lang="en-ID" sz="900" b="1" u="none" kern="1200"/>
            <a:t>2027:</a:t>
          </a:r>
          <a:r>
            <a:rPr lang="en-ID" sz="900" u="none" kern="1200"/>
            <a:t> Integrasi sentimen analisis </a:t>
          </a:r>
          <a:r>
            <a:rPr lang="en-ID" sz="900" i="1" u="none" kern="1200"/>
            <a:t>Big Data</a:t>
          </a:r>
          <a:r>
            <a:rPr lang="en-ID" sz="900" u="none" kern="1200"/>
            <a:t> media sosial dan tingkat inflasi terhadap probabilitas keberhasilan </a:t>
          </a:r>
          <a:r>
            <a:rPr lang="en-ID" sz="900" i="1" u="none" kern="1200"/>
            <a:t>fundraising</a:t>
          </a:r>
          <a:r>
            <a:rPr lang="en-ID" sz="900" u="none" kern="1200"/>
            <a:t> SCF Syariah.</a:t>
          </a:r>
          <a:endParaRPr lang="en-ID" sz="900" kern="1200"/>
        </a:p>
      </dsp:txBody>
      <dsp:txXfrm>
        <a:off x="647808" y="1329037"/>
        <a:ext cx="3500867" cy="542326"/>
      </dsp:txXfrm>
    </dsp:sp>
    <dsp:sp modelId="{15B608B2-012C-4687-B812-0572742C0ED8}">
      <dsp:nvSpPr>
        <dsp:cNvPr id="0" name=""/>
        <dsp:cNvSpPr/>
      </dsp:nvSpPr>
      <dsp:spPr>
        <a:xfrm>
          <a:off x="946404" y="1968246"/>
          <a:ext cx="4224528" cy="576072"/>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l" defTabSz="400050">
            <a:lnSpc>
              <a:spcPct val="90000"/>
            </a:lnSpc>
            <a:spcBef>
              <a:spcPct val="0"/>
            </a:spcBef>
            <a:spcAft>
              <a:spcPct val="35000"/>
            </a:spcAft>
            <a:buClr>
              <a:srgbClr val="000000"/>
            </a:buClr>
            <a:buSzPts val="1100"/>
            <a:buFont typeface="Arial" panose="020B0604020202020204" pitchFamily="34" charset="0"/>
            <a:buChar char="●"/>
          </a:pPr>
          <a:r>
            <a:rPr lang="en-ID" sz="900" b="1" u="none" kern="1200"/>
            <a:t>2028:</a:t>
          </a:r>
          <a:r>
            <a:rPr lang="en-ID" sz="900" u="none" kern="1200"/>
            <a:t> Pengembangan algoritma </a:t>
          </a:r>
          <a:r>
            <a:rPr lang="en-ID" sz="900" i="1" u="none" kern="1200"/>
            <a:t>Machine Learning</a:t>
          </a:r>
          <a:r>
            <a:rPr lang="en-ID" sz="900" u="none" kern="1200"/>
            <a:t> untuk memprediksi risiko gagal bayar (</a:t>
          </a:r>
          <a:r>
            <a:rPr lang="en-ID" sz="900" i="1" u="none" kern="1200"/>
            <a:t>default</a:t>
          </a:r>
          <a:r>
            <a:rPr lang="en-ID" sz="900" u="none" kern="1200"/>
            <a:t>) pada instrumen Sukuk UMKM di platform digital.</a:t>
          </a:r>
          <a:endParaRPr lang="en-ID" sz="900" kern="1200"/>
        </a:p>
      </dsp:txBody>
      <dsp:txXfrm>
        <a:off x="963277" y="1985119"/>
        <a:ext cx="3500867" cy="542326"/>
      </dsp:txXfrm>
    </dsp:sp>
    <dsp:sp modelId="{00BD2881-89EE-4C0B-8A54-DDAB189BA4AE}">
      <dsp:nvSpPr>
        <dsp:cNvPr id="0" name=""/>
        <dsp:cNvSpPr/>
      </dsp:nvSpPr>
      <dsp:spPr>
        <a:xfrm>
          <a:off x="1261871" y="2624328"/>
          <a:ext cx="4224528" cy="576072"/>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l" defTabSz="400050">
            <a:lnSpc>
              <a:spcPct val="90000"/>
            </a:lnSpc>
            <a:spcBef>
              <a:spcPct val="0"/>
            </a:spcBef>
            <a:spcAft>
              <a:spcPct val="35000"/>
            </a:spcAft>
            <a:buClr>
              <a:srgbClr val="000000"/>
            </a:buClr>
            <a:buSzPts val="1100"/>
            <a:buFont typeface="Arial" panose="020B0604020202020204" pitchFamily="34" charset="0"/>
            <a:buChar char="●"/>
          </a:pPr>
          <a:r>
            <a:rPr lang="en-ID" sz="900" b="1" u="none" kern="1200"/>
            <a:t>2029:</a:t>
          </a:r>
          <a:r>
            <a:rPr lang="en-ID" sz="900" u="none" kern="1200"/>
            <a:t> Penyusunan draf rekomendasi kebijakan mitigasi risiko investasi digital bagi Otoritas Jasa Keuangan (OJK) dan Asosiasi Fintech Syariah Indonesia (AFSI).</a:t>
          </a:r>
          <a:endParaRPr lang="en-ID" sz="900" kern="1200"/>
        </a:p>
      </dsp:txBody>
      <dsp:txXfrm>
        <a:off x="1278744" y="2641201"/>
        <a:ext cx="3500867" cy="542326"/>
      </dsp:txXfrm>
    </dsp:sp>
    <dsp:sp modelId="{2FC3CAEB-7280-456C-98BA-3F5CAF9FFCB6}">
      <dsp:nvSpPr>
        <dsp:cNvPr id="0" name=""/>
        <dsp:cNvSpPr/>
      </dsp:nvSpPr>
      <dsp:spPr>
        <a:xfrm>
          <a:off x="3850081" y="420852"/>
          <a:ext cx="374446" cy="374446"/>
        </a:xfrm>
        <a:prstGeom prst="downArrow">
          <a:avLst>
            <a:gd name="adj1" fmla="val 55000"/>
            <a:gd name="adj2" fmla="val 45000"/>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endParaRPr lang="en-ID" sz="1700" kern="1200"/>
        </a:p>
      </dsp:txBody>
      <dsp:txXfrm>
        <a:off x="3934331" y="420852"/>
        <a:ext cx="205946" cy="281771"/>
      </dsp:txXfrm>
    </dsp:sp>
    <dsp:sp modelId="{F26037C3-3AFF-4CA6-AF01-E102CCFF18AF}">
      <dsp:nvSpPr>
        <dsp:cNvPr id="0" name=""/>
        <dsp:cNvSpPr/>
      </dsp:nvSpPr>
      <dsp:spPr>
        <a:xfrm>
          <a:off x="4165549" y="1076934"/>
          <a:ext cx="374446" cy="374446"/>
        </a:xfrm>
        <a:prstGeom prst="downArrow">
          <a:avLst>
            <a:gd name="adj1" fmla="val 55000"/>
            <a:gd name="adj2" fmla="val 45000"/>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endParaRPr lang="en-ID" sz="1700" kern="1200"/>
        </a:p>
      </dsp:txBody>
      <dsp:txXfrm>
        <a:off x="4249799" y="1076934"/>
        <a:ext cx="205946" cy="281771"/>
      </dsp:txXfrm>
    </dsp:sp>
    <dsp:sp modelId="{292A9C3F-B64B-4CBF-9F88-9954C9373414}">
      <dsp:nvSpPr>
        <dsp:cNvPr id="0" name=""/>
        <dsp:cNvSpPr/>
      </dsp:nvSpPr>
      <dsp:spPr>
        <a:xfrm>
          <a:off x="4481017" y="1723415"/>
          <a:ext cx="374446" cy="374446"/>
        </a:xfrm>
        <a:prstGeom prst="downArrow">
          <a:avLst>
            <a:gd name="adj1" fmla="val 55000"/>
            <a:gd name="adj2" fmla="val 45000"/>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endParaRPr lang="en-ID" sz="1700" kern="1200"/>
        </a:p>
      </dsp:txBody>
      <dsp:txXfrm>
        <a:off x="4565267" y="1723415"/>
        <a:ext cx="205946" cy="281771"/>
      </dsp:txXfrm>
    </dsp:sp>
    <dsp:sp modelId="{3860562C-80DA-4D91-B43C-6A979B7CCBB8}">
      <dsp:nvSpPr>
        <dsp:cNvPr id="0" name=""/>
        <dsp:cNvSpPr/>
      </dsp:nvSpPr>
      <dsp:spPr>
        <a:xfrm>
          <a:off x="4796485" y="2385898"/>
          <a:ext cx="374446" cy="374446"/>
        </a:xfrm>
        <a:prstGeom prst="downArrow">
          <a:avLst>
            <a:gd name="adj1" fmla="val 55000"/>
            <a:gd name="adj2" fmla="val 45000"/>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endParaRPr lang="en-ID" sz="1700" kern="1200"/>
        </a:p>
      </dsp:txBody>
      <dsp:txXfrm>
        <a:off x="4880735" y="2385898"/>
        <a:ext cx="205946" cy="28177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680F48-81AE-42D8-9E7D-3AFA5E21BE2A}">
      <dsp:nvSpPr>
        <dsp:cNvPr id="0" name=""/>
        <dsp:cNvSpPr/>
      </dsp:nvSpPr>
      <dsp:spPr>
        <a:xfrm>
          <a:off x="0" y="0"/>
          <a:ext cx="5486400" cy="0"/>
        </a:xfrm>
        <a:prstGeom prst="line">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8A5414F-66FF-44F5-B7AE-19F4B8C47291}">
      <dsp:nvSpPr>
        <dsp:cNvPr id="0" name=""/>
        <dsp:cNvSpPr/>
      </dsp:nvSpPr>
      <dsp:spPr>
        <a:xfrm>
          <a:off x="0" y="0"/>
          <a:ext cx="1097280" cy="16840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just" defTabSz="533400">
            <a:lnSpc>
              <a:spcPct val="90000"/>
            </a:lnSpc>
            <a:spcBef>
              <a:spcPct val="0"/>
            </a:spcBef>
            <a:spcAft>
              <a:spcPct val="35000"/>
            </a:spcAft>
          </a:pPr>
          <a:r>
            <a:rPr lang="en-ID" sz="1200" kern="1200">
              <a:latin typeface="Times New Roman" panose="02020603050405020304" pitchFamily="18" charset="0"/>
              <a:cs typeface="Times New Roman" panose="02020603050405020304" pitchFamily="18" charset="0"/>
            </a:rPr>
            <a:t>Target Luaran:</a:t>
          </a:r>
        </a:p>
      </dsp:txBody>
      <dsp:txXfrm>
        <a:off x="0" y="0"/>
        <a:ext cx="1097280" cy="1684020"/>
      </dsp:txXfrm>
    </dsp:sp>
    <dsp:sp modelId="{60011CE8-3098-41F3-8C96-0184DF9182A0}">
      <dsp:nvSpPr>
        <dsp:cNvPr id="0" name=""/>
        <dsp:cNvSpPr/>
      </dsp:nvSpPr>
      <dsp:spPr>
        <a:xfrm>
          <a:off x="1179576" y="25038"/>
          <a:ext cx="4306824" cy="50076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just" defTabSz="533400">
            <a:lnSpc>
              <a:spcPct val="90000"/>
            </a:lnSpc>
            <a:spcBef>
              <a:spcPct val="0"/>
            </a:spcBef>
            <a:spcAft>
              <a:spcPct val="35000"/>
            </a:spcAft>
            <a:buNone/>
          </a:pPr>
          <a:r>
            <a:rPr lang="en-ID" sz="1200" kern="1200">
              <a:latin typeface="Times New Roman" panose="02020603050405020304" pitchFamily="18" charset="0"/>
              <a:cs typeface="Times New Roman" panose="02020603050405020304" pitchFamily="18" charset="0"/>
            </a:rPr>
            <a:t>1) Publikasi jurnal nasional/internasional bereputasi (Sinta 3/4)</a:t>
          </a:r>
        </a:p>
      </dsp:txBody>
      <dsp:txXfrm>
        <a:off x="1179576" y="25038"/>
        <a:ext cx="4306824" cy="500765"/>
      </dsp:txXfrm>
    </dsp:sp>
    <dsp:sp modelId="{F4540174-433C-431C-9E51-FAED83C3DD1C}">
      <dsp:nvSpPr>
        <dsp:cNvPr id="0" name=""/>
        <dsp:cNvSpPr/>
      </dsp:nvSpPr>
      <dsp:spPr>
        <a:xfrm>
          <a:off x="1097280" y="525803"/>
          <a:ext cx="438912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DD6660B-5DF5-440A-A8C1-13ED9C3A9F10}">
      <dsp:nvSpPr>
        <dsp:cNvPr id="0" name=""/>
        <dsp:cNvSpPr/>
      </dsp:nvSpPr>
      <dsp:spPr>
        <a:xfrm>
          <a:off x="1179576" y="550842"/>
          <a:ext cx="4306824" cy="50076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just" defTabSz="533400">
            <a:lnSpc>
              <a:spcPct val="90000"/>
            </a:lnSpc>
            <a:spcBef>
              <a:spcPct val="0"/>
            </a:spcBef>
            <a:spcAft>
              <a:spcPct val="35000"/>
            </a:spcAft>
            <a:buNone/>
          </a:pPr>
          <a:r>
            <a:rPr lang="en-ID" sz="1200" kern="1200">
              <a:latin typeface="Times New Roman" panose="02020603050405020304" pitchFamily="18" charset="0"/>
              <a:cs typeface="Times New Roman" panose="02020603050405020304" pitchFamily="18" charset="0"/>
            </a:rPr>
            <a:t>2) Hak Kekayaan Intelektual (HKI) atas ringkasan model penelitian</a:t>
          </a:r>
        </a:p>
      </dsp:txBody>
      <dsp:txXfrm>
        <a:off x="1179576" y="550842"/>
        <a:ext cx="4306824" cy="500765"/>
      </dsp:txXfrm>
    </dsp:sp>
    <dsp:sp modelId="{9157E347-AD68-4872-BEE7-256275FF6700}">
      <dsp:nvSpPr>
        <dsp:cNvPr id="0" name=""/>
        <dsp:cNvSpPr/>
      </dsp:nvSpPr>
      <dsp:spPr>
        <a:xfrm>
          <a:off x="1097280" y="1051607"/>
          <a:ext cx="438912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214A2B5-DB9C-420D-B28F-DDAE3955CC0D}">
      <dsp:nvSpPr>
        <dsp:cNvPr id="0" name=""/>
        <dsp:cNvSpPr/>
      </dsp:nvSpPr>
      <dsp:spPr>
        <a:xfrm>
          <a:off x="1179576" y="1076646"/>
          <a:ext cx="4306824" cy="5814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just" defTabSz="533400">
            <a:lnSpc>
              <a:spcPct val="90000"/>
            </a:lnSpc>
            <a:spcBef>
              <a:spcPct val="0"/>
            </a:spcBef>
            <a:spcAft>
              <a:spcPct val="35000"/>
            </a:spcAft>
            <a:buNone/>
          </a:pPr>
          <a:r>
            <a:rPr lang="en-ID" sz="1200" kern="1200">
              <a:latin typeface="Times New Roman" panose="02020603050405020304" pitchFamily="18" charset="0"/>
              <a:cs typeface="Times New Roman" panose="02020603050405020304" pitchFamily="18" charset="0"/>
            </a:rPr>
            <a:t>3) Usulan/rekomendasi bagi pelaku ekonomi dan regulator yang meningkatkan efektivitas dan efisiensi kegiatan ekonomi digital syariah</a:t>
          </a:r>
        </a:p>
      </dsp:txBody>
      <dsp:txXfrm>
        <a:off x="1179576" y="1076646"/>
        <a:ext cx="4306824" cy="581439"/>
      </dsp:txXfrm>
    </dsp:sp>
    <dsp:sp modelId="{074CDE3F-A5E4-4EC5-9C1F-CFFCD253B579}">
      <dsp:nvSpPr>
        <dsp:cNvPr id="0" name=""/>
        <dsp:cNvSpPr/>
      </dsp:nvSpPr>
      <dsp:spPr>
        <a:xfrm>
          <a:off x="1097280" y="1658085"/>
          <a:ext cx="438912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B0F89-9673-4F31-8F0F-D4DF1DF86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2234</Words>
  <Characters>12738</Characters>
  <Application>Microsoft Office Word</Application>
  <DocSecurity>8</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Kahar Muzakhar</dc:creator>
  <cp:keywords/>
  <dc:description/>
  <cp:lastModifiedBy>user</cp:lastModifiedBy>
  <cp:revision>20</cp:revision>
  <dcterms:created xsi:type="dcterms:W3CDTF">2026-03-31T01:24:00Z</dcterms:created>
  <dcterms:modified xsi:type="dcterms:W3CDTF">2026-06-12T13:49:00Z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2025-10-06T07:36:43Z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41506437-4198-4a3a-af54-fd0ec606d4b8</vt:lpwstr>
  </property>
  <property fmtid="{D5CDD505-2E9C-101B-9397-08002B2CF9AE}" pid="7" name="MSIP_Label_defa4170-0d19-0005-0004-bc88714345d2_ActionId">
    <vt:lpwstr>826a5a59-de28-4f19-8d09-a80da9d396b0</vt:lpwstr>
  </property>
  <property fmtid="{D5CDD505-2E9C-101B-9397-08002B2CF9AE}" pid="8" name="MSIP_Label_defa4170-0d19-0005-0004-bc88714345d2_ContentBits">
    <vt:lpwstr>0</vt:lpwstr>
  </property>
  <property fmtid="{D5CDD505-2E9C-101B-9397-08002B2CF9AE}" pid="9" name="MSIP_Label_defa4170-0d19-0005-0004-bc88714345d2_Tag">
    <vt:lpwstr>50, 3, 0, 1</vt:lpwstr>
  </property>
</Properties>
</file>